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rPr>
      </w:pPr>
      <w:r>
        <w:rPr>
          <w:rFonts w:ascii="黑体" w:hAnsi="黑体" w:eastAsia="黑体" w:cs="Times New Roman"/>
        </w:rPr>
        <mc:AlternateContent>
          <mc:Choice Requires="wps">
            <w:drawing>
              <wp:anchor distT="0" distB="0" distL="114300" distR="114300" simplePos="0" relativeHeight="251661312"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pPr>
                              <w:pStyle w:val="30"/>
                              <w:shd w:val="clear" w:color="auto" w:fill="auto"/>
                              <w:wordWrap w:val="0"/>
                              <w:ind w:right="471" w:firstLine="626"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61312;mso-width-relative:page;mso-height-relative:page;" filled="f" stroked="f" coordsize="21600,21600" o:gfxdata="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&#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6dfju2AAAAAsBAAAPAAAAAAAAAAEAIAAAACIAAABk&#10;cnMvZG93bnJldi54bWxQSwECFAAUAAAACACHTuJA6QXcpAYCAAAUBAAADgAAAAAAAAABACAAAAAn&#10;AQAAZHJzL2Uyb0RvYy54bWxQSwUGAAAAAAYABgBZAQAAnwUAAAAA&#10;">
                <v:fill on="f" focussize="0,0"/>
                <v:stroke on="f"/>
                <v:imagedata o:title=""/>
                <o:lock v:ext="edit" aspectratio="f"/>
                <v:textbox style="mso-fit-shape-to-text:t;">
                  <w:txbxContent>
                    <w:p>
                      <w:pPr>
                        <w:pStyle w:val="30"/>
                        <w:shd w:val="clear" w:color="auto" w:fill="auto"/>
                        <w:wordWrap w:val="0"/>
                        <w:ind w:right="471" w:firstLine="626"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ICS 03.180</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rPr>
        <w:t>A</w:t>
      </w:r>
      <w:r>
        <w:rPr>
          <w:rFonts w:ascii="黑体" w:hAnsi="黑体" w:eastAsia="黑体" w:cs="Times New Roman"/>
        </w:rPr>
        <w:t xml:space="preserve"> 18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4384;mso-width-relative:page;mso-height-relative:page;" filled="f" stroked="f" coordsize="21600,21600" o:gfxdata="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eonEPYAAAACgEAAA8A&#10;AAAAAAAAAQAgAAAAIgAAAGRycy9kb3ducmV2LnhtbFBLAQIUABQAAAAIAIdO4kD2AeosFwIAADIE&#10;AAAOAAAAAAAAAAEAIAAAACcBAABkcnMvZTJvRG9jLnhtbFBLBQYAAAAABgAGAFkBAACwBQAAA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5408;mso-width-relative:page;mso-height-relative:page;" filled="f" stroked="f" coordsize="21600,21600" o:gfxdata="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q+dd+2wAAAAsB&#10;AAAPAAAAAAAAAAEAIAAAACIAAABkcnMvZG93bnJldi54bWxQSwECFAAUAAAACACHTuJAzkxZKRgC&#10;AAAyBAAADgAAAAAAAAABACAAAAAqAQAAZHJzL2Uyb0RvYy54bWxQSwUGAAAAAAYABgBZAQAAtAUA&#10;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2336;mso-width-relative:page;mso-height-relative:page;" filled="f" stroked="t" coordsize="21600,21600" o:gfxdata="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y4Wx0wAAAAgBAAAPAAAAAAAAAAEAIAAAACIA&#10;AABkcnMvZG93bnJldi54bWxQSwECFAAUAAAACACHTuJARwVqgNUBAAC0AwAADgAAAAAAAAABACAA&#10;AAAiAQAAZHJzL2Uyb0RvYy54bWxQSwUGAAAAAAYABgBZAQAAaQ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pPr>
                              <w:jc w:val="center"/>
                              <w:rPr>
                                <w:rFonts w:ascii="黑体" w:hAnsi="宋体" w:eastAsia="黑体"/>
                                <w:sz w:val="52"/>
                                <w:szCs w:val="52"/>
                              </w:rPr>
                            </w:pPr>
                            <w:r>
                              <w:rPr>
                                <w:rFonts w:hint="eastAsia" w:ascii="黑体" w:hAnsi="宋体" w:eastAsia="黑体"/>
                                <w:sz w:val="52"/>
                                <w:szCs w:val="52"/>
                              </w:rPr>
                              <w:t>行业产教融合共同体 生物</w:t>
                            </w:r>
                            <w:r>
                              <w:rPr>
                                <w:rFonts w:ascii="黑体" w:hAnsi="宋体" w:eastAsia="黑体"/>
                                <w:sz w:val="52"/>
                                <w:szCs w:val="52"/>
                              </w:rPr>
                              <w:t>制药类</w:t>
                            </w:r>
                            <w:r>
                              <w:rPr>
                                <w:rFonts w:hint="eastAsia" w:ascii="黑体" w:hAnsi="宋体" w:eastAsia="黑体"/>
                                <w:sz w:val="52"/>
                                <w:szCs w:val="52"/>
                              </w:rPr>
                              <w:t>职业能力</w:t>
                            </w:r>
                            <w:r>
                              <w:rPr>
                                <w:rFonts w:ascii="黑体" w:hAnsi="宋体" w:eastAsia="黑体"/>
                                <w:sz w:val="52"/>
                                <w:szCs w:val="52"/>
                              </w:rPr>
                              <w:t>培养规范</w:t>
                            </w:r>
                          </w:p>
                          <w:p>
                            <w:pPr>
                              <w:jc w:val="center"/>
                              <w:rPr>
                                <w:rStyle w:val="45"/>
                                <w:rFonts w:ascii="黑体" w:hAnsi="黑体" w:eastAsia="黑体"/>
                                <w:kern w:val="0"/>
                                <w:sz w:val="28"/>
                                <w:szCs w:val="21"/>
                              </w:rPr>
                            </w:pPr>
                            <w:r>
                              <w:rPr>
                                <w:rFonts w:ascii="黑体" w:hAnsi="黑体" w:eastAsia="黑体"/>
                                <w:kern w:val="0"/>
                                <w:sz w:val="28"/>
                                <w:szCs w:val="21"/>
                              </w:rPr>
                              <w:t>The community of industry-university cooperation—</w:t>
                            </w:r>
                            <w:r>
                              <w:rPr>
                                <w:rFonts w:hint="eastAsia" w:ascii="黑体" w:hAnsi="黑体" w:eastAsia="黑体"/>
                                <w:kern w:val="0"/>
                                <w:sz w:val="28"/>
                                <w:szCs w:val="21"/>
                              </w:rPr>
                              <w:t>s</w:t>
                            </w:r>
                            <w:r>
                              <w:rPr>
                                <w:rFonts w:ascii="黑体" w:hAnsi="黑体" w:eastAsia="黑体"/>
                                <w:kern w:val="0"/>
                                <w:sz w:val="28"/>
                                <w:szCs w:val="21"/>
                              </w:rPr>
                              <w:t>pecification for the cultivation of professional competence in biopharmaceuticals</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3360;mso-width-relative:page;mso-height-relative:page;" filled="f" stroked="f" coordsize="21600,21600" o:gfxdata="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MG462QAAAAsBAAAP&#10;AAAAAAAAAAEAIAAAACIAAABkcnMvZG93bnJldi54bWxQSwECFAAUAAAACACHTuJAwAXEWxcCAAAz&#10;BAAADgAAAAAAAAABACAAAAAoAQAAZHJzL2Uyb0RvYy54bWxQSwUGAAAAAAYABgBZAQAAsQUAAAAA&#10;">
                <v:fill on="f" focussize="0,0"/>
                <v:stroke on="f" weight="0pt" miterlimit="8" joinstyle="miter"/>
                <v:imagedata o:title=""/>
                <o:lock v:ext="edit" aspectratio="f"/>
                <v:textbox>
                  <w:txbxContent>
                    <w:p>
                      <w:pPr>
                        <w:jc w:val="center"/>
                        <w:rPr>
                          <w:rFonts w:ascii="黑体" w:hAnsi="宋体" w:eastAsia="黑体"/>
                          <w:sz w:val="52"/>
                          <w:szCs w:val="52"/>
                        </w:rPr>
                      </w:pPr>
                      <w:r>
                        <w:rPr>
                          <w:rFonts w:hint="eastAsia" w:ascii="黑体" w:hAnsi="宋体" w:eastAsia="黑体"/>
                          <w:sz w:val="52"/>
                          <w:szCs w:val="52"/>
                        </w:rPr>
                        <w:t>行业产教融合共同体 生物</w:t>
                      </w:r>
                      <w:r>
                        <w:rPr>
                          <w:rFonts w:ascii="黑体" w:hAnsi="宋体" w:eastAsia="黑体"/>
                          <w:sz w:val="52"/>
                          <w:szCs w:val="52"/>
                        </w:rPr>
                        <w:t>制药类</w:t>
                      </w:r>
                      <w:r>
                        <w:rPr>
                          <w:rFonts w:hint="eastAsia" w:ascii="黑体" w:hAnsi="宋体" w:eastAsia="黑体"/>
                          <w:sz w:val="52"/>
                          <w:szCs w:val="52"/>
                        </w:rPr>
                        <w:t>职业能力</w:t>
                      </w:r>
                      <w:r>
                        <w:rPr>
                          <w:rFonts w:ascii="黑体" w:hAnsi="宋体" w:eastAsia="黑体"/>
                          <w:sz w:val="52"/>
                          <w:szCs w:val="52"/>
                        </w:rPr>
                        <w:t>培养规范</w:t>
                      </w:r>
                    </w:p>
                    <w:p>
                      <w:pPr>
                        <w:jc w:val="center"/>
                        <w:rPr>
                          <w:rStyle w:val="45"/>
                          <w:rFonts w:ascii="黑体" w:hAnsi="黑体" w:eastAsia="黑体"/>
                          <w:kern w:val="0"/>
                          <w:sz w:val="28"/>
                          <w:szCs w:val="21"/>
                        </w:rPr>
                      </w:pPr>
                      <w:r>
                        <w:rPr>
                          <w:rFonts w:ascii="黑体" w:hAnsi="黑体" w:eastAsia="黑体"/>
                          <w:kern w:val="0"/>
                          <w:sz w:val="28"/>
                          <w:szCs w:val="21"/>
                        </w:rPr>
                        <w:t>The community of industry-university cooperation—</w:t>
                      </w:r>
                      <w:r>
                        <w:rPr>
                          <w:rFonts w:hint="eastAsia" w:ascii="黑体" w:hAnsi="黑体" w:eastAsia="黑体"/>
                          <w:kern w:val="0"/>
                          <w:sz w:val="28"/>
                          <w:szCs w:val="21"/>
                        </w:rPr>
                        <w:t>s</w:t>
                      </w:r>
                      <w:r>
                        <w:rPr>
                          <w:rFonts w:ascii="黑体" w:hAnsi="黑体" w:eastAsia="黑体"/>
                          <w:kern w:val="0"/>
                          <w:sz w:val="28"/>
                          <w:szCs w:val="21"/>
                        </w:rPr>
                        <w:t>pecification for the cultivation of professional competence in biopharmaceuticals</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ascii="黑体" w:hAnsi="黑体" w:eastAsia="黑体"/>
          <w:sz w:val="28"/>
          <w:szCs w:val="28"/>
        </w:rPr>
        <mc:AlternateContent>
          <mc:Choice Requires="wps">
            <w:drawing>
              <wp:anchor distT="0" distB="0" distL="114300" distR="114300" simplePos="0" relativeHeight="251666432"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6432;mso-width-relative:page;mso-height-relative:page;" filled="f" stroked="t" coordsize="21600,21600" o:gfxdata="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MgXH1gAAAAwBAAAPAAAAAAAAAAEAIAAA&#10;ACIAAABkcnMvZG93bnJldi54bWxQSwECFAAUAAAACACHTuJA+/4xqtUBAAC0AwAADgAAAAAAAAAB&#10;ACAAAAAlAQAAZHJzL2Uyb0RvYy54bWxQSwUGAAAAAAYABgBZAQAAbAUAAAAA&#10;">
                <v:fill on="f" focussize="0,0"/>
                <v:stroke weight="1pt" color="#000000" joinstyle="round"/>
                <v:imagedata o:title=""/>
                <o:lock v:ext="edit" aspectratio="f"/>
              </v:shape>
            </w:pict>
          </mc:Fallback>
        </mc:AlternateContent>
      </w:r>
      <w:r>
        <w:rPr>
          <w:rFonts w:hint="eastAsia" w:ascii="黑体" w:hAnsi="黑体" w:eastAsia="黑体"/>
          <w:sz w:val="28"/>
          <w:szCs w:val="28"/>
        </w:rPr>
        <w:t>2024-XX-XX发布                                       2024-XX-XX实施</w:t>
      </w:r>
    </w:p>
    <w:p>
      <w:pPr>
        <w:spacing w:line="1247" w:lineRule="exact"/>
        <w:jc w:val="center"/>
        <w:rPr>
          <w:rFonts w:ascii="黑体" w:hAnsi="黑体" w:eastAsia="黑体"/>
          <w:sz w:val="28"/>
          <w:szCs w:val="28"/>
        </w:rPr>
      </w:pPr>
      <w:bookmarkStart w:id="0" w:name="_Toc3547"/>
      <w:bookmarkStart w:id="1" w:name="_Toc18385"/>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sectPr>
          <w:pgSz w:w="11906" w:h="16838"/>
          <w:pgMar w:top="567" w:right="851" w:bottom="1134" w:left="1418" w:header="0" w:footer="0" w:gutter="0"/>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6"/>
        <w:tabs>
          <w:tab w:val="right" w:leader="dot" w:pos="9344"/>
        </w:tabs>
        <w:rPr>
          <w:rFonts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fldChar w:fldCharType="begin"/>
      </w:r>
      <w:r>
        <w:instrText xml:space="preserve"> HYPERLINK \l "_Toc181977801" </w:instrText>
      </w:r>
      <w:r>
        <w:fldChar w:fldCharType="separate"/>
      </w:r>
      <w:r>
        <w:rPr>
          <w:rStyle w:val="24"/>
          <w:rFonts w:hint="eastAsia" w:ascii="宋体" w:hAnsi="宋体" w:eastAsia="宋体" w:cs="宋体"/>
          <w:kern w:val="0"/>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_Toc181977801 \h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"_Toc181977802" </w:instrText>
      </w:r>
      <w:r>
        <w:fldChar w:fldCharType="separate"/>
      </w:r>
      <w:r>
        <w:rPr>
          <w:rStyle w:val="24"/>
          <w:rFonts w:hint="eastAsia" w:ascii="宋体" w:hAnsi="宋体" w:eastAsia="宋体" w:cs="宋体"/>
          <w:kern w:val="0"/>
        </w:rPr>
        <w:t>引言</w:t>
      </w:r>
      <w:r>
        <w:rPr>
          <w:rFonts w:hint="eastAsia" w:ascii="宋体" w:hAnsi="宋体" w:eastAsia="宋体" w:cs="宋体"/>
        </w:rPr>
        <w:tab/>
      </w:r>
      <w:r>
        <w:rPr>
          <w:rFonts w:hint="eastAsia" w:ascii="宋体" w:hAnsi="宋体" w:eastAsia="宋体" w:cs="宋体"/>
        </w:rPr>
        <w:t>I</w:t>
      </w:r>
      <w:r>
        <w:rPr>
          <w:rFonts w:hint="eastAsia" w:ascii="宋体" w:hAnsi="宋体" w:eastAsia="宋体" w:cs="宋体"/>
        </w:rPr>
        <w:fldChar w:fldCharType="begin"/>
      </w:r>
      <w:r>
        <w:rPr>
          <w:rFonts w:hint="eastAsia" w:ascii="宋体" w:hAnsi="宋体" w:eastAsia="宋体" w:cs="宋体"/>
        </w:rPr>
        <w:instrText xml:space="preserve"> PAGEREF _Toc181977802 \h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"_Toc181977803" </w:instrText>
      </w:r>
      <w:r>
        <w:fldChar w:fldCharType="separate"/>
      </w:r>
      <w:r>
        <w:rPr>
          <w:rStyle w:val="24"/>
          <w:rFonts w:hint="eastAsia" w:ascii="宋体" w:hAnsi="宋体" w:eastAsia="宋体" w:cs="宋体"/>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_Toc181977803 \h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"_Toc181977804" </w:instrText>
      </w:r>
      <w:r>
        <w:fldChar w:fldCharType="separate"/>
      </w:r>
      <w:r>
        <w:rPr>
          <w:rStyle w:val="24"/>
          <w:rFonts w:hint="eastAsia" w:ascii="宋体" w:hAnsi="宋体" w:eastAsia="宋体" w:cs="宋体"/>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_Toc181977804 \h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"_Toc181977805" </w:instrText>
      </w:r>
      <w:r>
        <w:rPr>
          <w:rFonts w:hint="eastAsia" w:ascii="宋体" w:hAnsi="宋体" w:eastAsia="宋体" w:cs="宋体"/>
          <w:color w:val="auto"/>
        </w:rPr>
        <w:fldChar w:fldCharType="separate"/>
      </w:r>
      <w:r>
        <w:rPr>
          <w:rStyle w:val="24"/>
          <w:rFonts w:hint="eastAsia" w:ascii="宋体" w:hAnsi="宋体" w:eastAsia="宋体" w:cs="宋体"/>
          <w:color w:val="auto"/>
        </w:rPr>
        <w:t>3  术语和定义</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_Toc181977805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"_Toc181977806" </w:instrText>
      </w:r>
      <w:r>
        <w:rPr>
          <w:rFonts w:hint="eastAsia" w:ascii="宋体" w:hAnsi="宋体" w:eastAsia="宋体" w:cs="宋体"/>
          <w:color w:val="auto"/>
        </w:rPr>
        <w:fldChar w:fldCharType="separate"/>
      </w:r>
      <w:r>
        <w:rPr>
          <w:rStyle w:val="24"/>
          <w:rFonts w:hint="eastAsia" w:ascii="宋体" w:hAnsi="宋体" w:eastAsia="宋体" w:cs="宋体"/>
          <w:color w:val="auto"/>
        </w:rPr>
        <w:t>4  培养目标</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_Toc181977806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"_Toc181977807"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4.1</w:t>
      </w:r>
      <w:r>
        <w:rPr>
          <w:rStyle w:val="24"/>
          <w:rFonts w:hint="eastAsia" w:ascii="宋体" w:hAnsi="宋体" w:eastAsia="宋体" w:cs="宋体"/>
          <w:color w:val="auto"/>
        </w:rPr>
        <w:t xml:space="preserve">  总体目标</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_Toc181977807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"_Toc181977808"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4.2</w:t>
      </w:r>
      <w:r>
        <w:rPr>
          <w:rStyle w:val="24"/>
          <w:rFonts w:hint="eastAsia" w:ascii="宋体" w:hAnsi="宋体" w:eastAsia="宋体" w:cs="宋体"/>
          <w:color w:val="auto"/>
        </w:rPr>
        <w:t xml:space="preserve">  工程能力</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_Toc181977808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"_Toc181977809"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4.3</w:t>
      </w:r>
      <w:r>
        <w:rPr>
          <w:rStyle w:val="24"/>
          <w:rFonts w:hint="eastAsia" w:ascii="宋体" w:hAnsi="宋体" w:eastAsia="宋体" w:cs="宋体"/>
          <w:color w:val="auto"/>
        </w:rPr>
        <w:t xml:space="preserve">  工程素养</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_Toc181977809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"_Toc181977810"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4.4</w:t>
      </w:r>
      <w:r>
        <w:rPr>
          <w:rStyle w:val="24"/>
          <w:rFonts w:hint="eastAsia" w:ascii="宋体" w:hAnsi="宋体" w:eastAsia="宋体" w:cs="宋体"/>
          <w:color w:val="auto"/>
        </w:rPr>
        <w:t xml:space="preserve">  职业发展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_Toc181977810 \h </w:instrText>
      </w:r>
      <w:r>
        <w:rPr>
          <w:rFonts w:hint="eastAsia" w:ascii="宋体" w:hAnsi="宋体" w:eastAsia="宋体" w:cs="宋体"/>
          <w:color w:val="auto"/>
        </w:rPr>
        <w:fldChar w:fldCharType="separate"/>
      </w:r>
      <w:r>
        <w:rPr>
          <w:rFonts w:hint="eastAsia" w:ascii="宋体" w:hAnsi="宋体" w:eastAsia="宋体" w:cs="宋体"/>
          <w:color w:val="auto"/>
        </w:rPr>
        <w:t>2</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"_Toc181977811" </w:instrText>
      </w:r>
      <w:r>
        <w:rPr>
          <w:rFonts w:hint="eastAsia" w:ascii="宋体" w:hAnsi="宋体" w:eastAsia="宋体" w:cs="宋体"/>
          <w:color w:val="auto"/>
        </w:rPr>
        <w:fldChar w:fldCharType="separate"/>
      </w:r>
      <w:r>
        <w:rPr>
          <w:rStyle w:val="24"/>
          <w:rFonts w:hint="eastAsia" w:ascii="宋体" w:hAnsi="宋体" w:eastAsia="宋体" w:cs="宋体"/>
          <w:color w:val="auto"/>
        </w:rPr>
        <w:t>5  培养模式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_Toc181977811 \h </w:instrText>
      </w:r>
      <w:r>
        <w:rPr>
          <w:rFonts w:hint="eastAsia" w:ascii="宋体" w:hAnsi="宋体" w:eastAsia="宋体" w:cs="宋体"/>
          <w:color w:val="auto"/>
        </w:rPr>
        <w:fldChar w:fldCharType="separate"/>
      </w:r>
      <w:r>
        <w:rPr>
          <w:rFonts w:hint="eastAsia" w:ascii="宋体" w:hAnsi="宋体" w:eastAsia="宋体" w:cs="宋体"/>
          <w:color w:val="auto"/>
        </w:rPr>
        <w:t>2</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"_Toc181977812"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5.1</w:t>
      </w:r>
      <w:r>
        <w:rPr>
          <w:rStyle w:val="24"/>
          <w:rFonts w:hint="eastAsia" w:ascii="宋体" w:hAnsi="宋体" w:eastAsia="宋体" w:cs="宋体"/>
          <w:color w:val="auto"/>
        </w:rPr>
        <w:t xml:space="preserve">  培养主体</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_Toc181977812 \h </w:instrText>
      </w:r>
      <w:r>
        <w:rPr>
          <w:rFonts w:hint="eastAsia" w:ascii="宋体" w:hAnsi="宋体" w:eastAsia="宋体" w:cs="宋体"/>
          <w:color w:val="auto"/>
        </w:rPr>
        <w:fldChar w:fldCharType="separate"/>
      </w:r>
      <w:r>
        <w:rPr>
          <w:rFonts w:hint="eastAsia" w:ascii="宋体" w:hAnsi="宋体" w:eastAsia="宋体" w:cs="宋体"/>
          <w:color w:val="auto"/>
        </w:rPr>
        <w:t>2</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"_Toc181977816"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5.2</w:t>
      </w:r>
      <w:r>
        <w:rPr>
          <w:rStyle w:val="24"/>
          <w:rFonts w:hint="eastAsia" w:ascii="宋体" w:hAnsi="宋体" w:eastAsia="宋体" w:cs="宋体"/>
          <w:color w:val="auto"/>
        </w:rPr>
        <w:t xml:space="preserve">  课程设置</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_Toc181977816 \h </w:instrText>
      </w:r>
      <w:r>
        <w:rPr>
          <w:rFonts w:hint="eastAsia" w:ascii="宋体" w:hAnsi="宋体" w:eastAsia="宋体" w:cs="宋体"/>
          <w:color w:val="auto"/>
        </w:rPr>
        <w:fldChar w:fldCharType="separate"/>
      </w:r>
      <w:r>
        <w:rPr>
          <w:rFonts w:hint="eastAsia" w:ascii="宋体" w:hAnsi="宋体" w:eastAsia="宋体" w:cs="宋体"/>
          <w:color w:val="auto"/>
        </w:rPr>
        <w:t>2</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"_Toc181977817"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5.3</w:t>
      </w:r>
      <w:r>
        <w:rPr>
          <w:rStyle w:val="24"/>
          <w:rFonts w:hint="eastAsia" w:ascii="宋体" w:hAnsi="宋体" w:eastAsia="宋体" w:cs="宋体"/>
          <w:color w:val="auto"/>
        </w:rPr>
        <w:t xml:space="preserve">  实施要求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_Toc181977817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"_Toc181977818" </w:instrText>
      </w:r>
      <w:r>
        <w:rPr>
          <w:rFonts w:hint="eastAsia" w:ascii="宋体" w:hAnsi="宋体" w:eastAsia="宋体" w:cs="宋体"/>
          <w:color w:val="auto"/>
        </w:rPr>
        <w:fldChar w:fldCharType="separate"/>
      </w:r>
      <w:r>
        <w:rPr>
          <w:rStyle w:val="24"/>
          <w:rFonts w:hint="eastAsia" w:ascii="宋体" w:hAnsi="宋体" w:eastAsia="宋体" w:cs="宋体"/>
          <w:color w:val="auto"/>
        </w:rPr>
        <w:t>6  教学保障</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_Toc181977818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"_Toc181977819"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 xml:space="preserve">6.1 </w:t>
      </w:r>
      <w:r>
        <w:rPr>
          <w:rStyle w:val="24"/>
          <w:rFonts w:hint="eastAsia" w:ascii="宋体" w:hAnsi="宋体" w:eastAsia="宋体" w:cs="宋体"/>
          <w:color w:val="auto"/>
        </w:rPr>
        <w:t xml:space="preserve"> 师资队伍</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_Toc181977819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"_Toc181977822"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6.2</w:t>
      </w:r>
      <w:r>
        <w:rPr>
          <w:rStyle w:val="24"/>
          <w:rFonts w:hint="eastAsia" w:ascii="宋体" w:hAnsi="宋体" w:eastAsia="宋体" w:cs="宋体"/>
          <w:color w:val="auto"/>
        </w:rPr>
        <w:t xml:space="preserve">  硬件要求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_Toc181977822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"_Toc181977823"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6.3</w:t>
      </w:r>
      <w:r>
        <w:rPr>
          <w:rStyle w:val="24"/>
          <w:rFonts w:hint="eastAsia" w:ascii="宋体" w:hAnsi="宋体" w:eastAsia="宋体" w:cs="宋体"/>
          <w:color w:val="auto"/>
        </w:rPr>
        <w:t xml:space="preserve">  教材要求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_Toc181977823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"_Toc181977824" </w:instrText>
      </w:r>
      <w:r>
        <w:rPr>
          <w:rFonts w:hint="eastAsia" w:ascii="宋体" w:hAnsi="宋体" w:eastAsia="宋体" w:cs="宋体"/>
          <w:color w:val="auto"/>
        </w:rPr>
        <w:fldChar w:fldCharType="separate"/>
      </w:r>
      <w:r>
        <w:rPr>
          <w:rStyle w:val="24"/>
          <w:rFonts w:hint="eastAsia" w:ascii="宋体" w:hAnsi="宋体" w:eastAsia="宋体" w:cs="宋体"/>
          <w:color w:val="auto"/>
        </w:rPr>
        <w:t>7  评价考核</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_Toc181977824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"_Toc181977825"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 xml:space="preserve">7.1 </w:t>
      </w:r>
      <w:r>
        <w:rPr>
          <w:rStyle w:val="24"/>
          <w:rFonts w:hint="eastAsia" w:ascii="宋体" w:hAnsi="宋体" w:eastAsia="宋体" w:cs="宋体"/>
          <w:color w:val="auto"/>
        </w:rPr>
        <w:t xml:space="preserve"> 总体要求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_Toc181977825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"_Toc181977826"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 xml:space="preserve">7.2 </w:t>
      </w:r>
      <w:r>
        <w:rPr>
          <w:rStyle w:val="24"/>
          <w:rFonts w:hint="eastAsia" w:ascii="宋体" w:hAnsi="宋体" w:eastAsia="宋体" w:cs="宋体"/>
          <w:color w:val="auto"/>
        </w:rPr>
        <w:t xml:space="preserve"> 教师评价</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_Toc181977826 \h </w:instrText>
      </w:r>
      <w:r>
        <w:rPr>
          <w:rFonts w:hint="eastAsia" w:ascii="宋体" w:hAnsi="宋体" w:eastAsia="宋体" w:cs="宋体"/>
          <w:color w:val="auto"/>
        </w:rPr>
        <w:fldChar w:fldCharType="separate"/>
      </w:r>
      <w:r>
        <w:rPr>
          <w:rFonts w:hint="eastAsia" w:ascii="宋体" w:hAnsi="宋体" w:eastAsia="宋体" w:cs="宋体"/>
          <w:color w:val="auto"/>
        </w:rPr>
        <w:t>4</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"_Toc181977827"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 xml:space="preserve">7.3 </w:t>
      </w:r>
      <w:r>
        <w:rPr>
          <w:rStyle w:val="24"/>
          <w:rFonts w:hint="eastAsia" w:ascii="宋体" w:hAnsi="宋体" w:eastAsia="宋体" w:cs="宋体"/>
          <w:color w:val="auto"/>
        </w:rPr>
        <w:t xml:space="preserve"> 学生评价</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_Toc181977827 \h </w:instrText>
      </w:r>
      <w:r>
        <w:rPr>
          <w:rFonts w:hint="eastAsia" w:ascii="宋体" w:hAnsi="宋体" w:eastAsia="宋体" w:cs="宋体"/>
          <w:color w:val="auto"/>
        </w:rPr>
        <w:fldChar w:fldCharType="separate"/>
      </w:r>
      <w:r>
        <w:rPr>
          <w:rFonts w:hint="eastAsia" w:ascii="宋体" w:hAnsi="宋体" w:eastAsia="宋体" w:cs="宋体"/>
          <w:color w:val="auto"/>
        </w:rPr>
        <w:t>4</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8"/>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"_Toc181977828" </w:instrText>
      </w:r>
      <w:r>
        <w:rPr>
          <w:rFonts w:hint="eastAsia" w:ascii="宋体" w:hAnsi="宋体" w:eastAsia="宋体" w:cs="宋体"/>
          <w:color w:val="auto"/>
        </w:rPr>
        <w:fldChar w:fldCharType="separate"/>
      </w:r>
      <w:r>
        <w:rPr>
          <w:rStyle w:val="24"/>
          <w:rFonts w:hint="eastAsia" w:ascii="宋体" w:hAnsi="宋体" w:eastAsia="宋体" w:cs="宋体"/>
          <w:color w:val="auto"/>
          <w14:scene3d w14:prst="orthographicFront">
            <w14:lightRig w14:rig="threePt" w14:dir="t">
              <w14:rot w14:lat="0" w14:lon="0" w14:rev="0"/>
            </w14:lightRig>
          </w14:scene3d>
        </w:rPr>
        <w:t xml:space="preserve">7.4 </w:t>
      </w:r>
      <w:r>
        <w:rPr>
          <w:rStyle w:val="24"/>
          <w:rFonts w:hint="eastAsia" w:ascii="宋体" w:hAnsi="宋体" w:eastAsia="宋体" w:cs="宋体"/>
          <w:color w:val="auto"/>
        </w:rPr>
        <w:t xml:space="preserve"> 能力考核</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_Toc181977828 \h </w:instrText>
      </w:r>
      <w:r>
        <w:rPr>
          <w:rFonts w:hint="eastAsia" w:ascii="宋体" w:hAnsi="宋体" w:eastAsia="宋体" w:cs="宋体"/>
          <w:color w:val="auto"/>
        </w:rPr>
        <w:fldChar w:fldCharType="separate"/>
      </w:r>
      <w:r>
        <w:rPr>
          <w:rFonts w:hint="eastAsia" w:ascii="宋体" w:hAnsi="宋体" w:eastAsia="宋体" w:cs="宋体"/>
          <w:color w:val="auto"/>
        </w:rPr>
        <w:t>4</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ascii="宋体" w:hAnsi="宋体" w:eastAsia="宋体" w:cs="宋体"/>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"_Toc181977829" </w:instrText>
      </w:r>
      <w:r>
        <w:rPr>
          <w:rFonts w:hint="eastAsia" w:ascii="宋体" w:hAnsi="宋体" w:eastAsia="宋体" w:cs="宋体"/>
          <w:color w:val="auto"/>
        </w:rPr>
        <w:fldChar w:fldCharType="separate"/>
      </w:r>
      <w:r>
        <w:rPr>
          <w:rStyle w:val="24"/>
          <w:rFonts w:hint="eastAsia" w:ascii="宋体" w:hAnsi="宋体" w:eastAsia="宋体" w:cs="宋体"/>
          <w:color w:val="auto"/>
        </w:rPr>
        <w:t>8  持续改进</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_Toc181977829 \h </w:instrText>
      </w:r>
      <w:r>
        <w:rPr>
          <w:rFonts w:hint="eastAsia" w:ascii="宋体" w:hAnsi="宋体" w:eastAsia="宋体" w:cs="宋体"/>
          <w:color w:val="auto"/>
        </w:rPr>
        <w:fldChar w:fldCharType="separate"/>
      </w:r>
      <w:r>
        <w:rPr>
          <w:rFonts w:hint="eastAsia" w:ascii="宋体" w:hAnsi="宋体" w:eastAsia="宋体" w:cs="宋体"/>
          <w:color w:val="auto"/>
        </w:rPr>
        <w:t>4</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6"/>
        <w:tabs>
          <w:tab w:val="right" w:leader="dot" w:pos="9344"/>
        </w:tabs>
        <w:rPr>
          <w:rFonts w:ascii="宋体" w:hAnsi="宋体" w:eastAsia="宋体" w:cs="宋体"/>
        </w:rPr>
      </w:pPr>
      <w:r>
        <w:fldChar w:fldCharType="begin"/>
      </w:r>
      <w:r>
        <w:instrText xml:space="preserve"> HYPERLINK \l "_Toc181977830" </w:instrText>
      </w:r>
      <w:r>
        <w:fldChar w:fldCharType="separate"/>
      </w:r>
      <w:r>
        <w:rPr>
          <w:rStyle w:val="24"/>
          <w:rFonts w:hint="eastAsia" w:ascii="宋体" w:hAnsi="宋体" w:eastAsia="宋体" w:cs="宋体"/>
        </w:rPr>
        <w:t>附录A（资料性）  生物制药类产教融合课程体系示例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_Toc181977830 \h </w:instrText>
      </w:r>
      <w:r>
        <w:rPr>
          <w:rFonts w:hint="eastAsia" w:ascii="宋体" w:hAnsi="宋体" w:eastAsia="宋体" w:cs="宋体"/>
        </w:rPr>
        <w:fldChar w:fldCharType="separate"/>
      </w:r>
      <w:r>
        <w:rPr>
          <w:rFonts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"_Toc181977831" </w:instrText>
      </w:r>
      <w:r>
        <w:fldChar w:fldCharType="separate"/>
      </w:r>
      <w:r>
        <w:rPr>
          <w:rStyle w:val="24"/>
          <w:rFonts w:hint="eastAsia" w:ascii="宋体" w:hAnsi="宋体" w:eastAsia="宋体" w:cs="宋体"/>
        </w:rPr>
        <w:t>附录B（资料性）  生物制药类职业能力考核指标点示例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_Toc181977831 \h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"_Toc181977832" </w:instrText>
      </w:r>
      <w:r>
        <w:fldChar w:fldCharType="separate"/>
      </w:r>
      <w:r>
        <w:rPr>
          <w:rStyle w:val="24"/>
          <w:rFonts w:hint="eastAsia" w:ascii="宋体" w:hAnsi="宋体" w:eastAsia="宋体" w:cs="宋体"/>
        </w:rPr>
        <w:t>附录C（资料性）  生物制药类职业能力、课程、典型岗位的对应关系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_Toc181977832 \h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9344"/>
        </w:tabs>
        <w:rPr>
          <w:rFonts w:ascii="宋体" w:hAnsi="宋体" w:eastAsia="宋体" w:cs="宋体"/>
        </w:rPr>
      </w:pPr>
      <w:r>
        <w:fldChar w:fldCharType="begin"/>
      </w:r>
      <w:r>
        <w:instrText xml:space="preserve"> HYPERLINK \l "_Toc181977833" </w:instrText>
      </w:r>
      <w:r>
        <w:fldChar w:fldCharType="separate"/>
      </w:r>
      <w:r>
        <w:rPr>
          <w:rStyle w:val="24"/>
          <w:rFonts w:hint="eastAsia" w:ascii="宋体" w:hAnsi="宋体" w:eastAsia="宋体" w:cs="宋体"/>
          <w:kern w:val="0"/>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_Toc181977833 \h </w:instrText>
      </w:r>
      <w:r>
        <w:rPr>
          <w:rFonts w:hint="eastAsia" w:ascii="宋体" w:hAnsi="宋体" w:eastAsia="宋体" w:cs="宋体"/>
        </w:rPr>
        <w:fldChar w:fldCharType="separate"/>
      </w:r>
      <w:r>
        <w:rPr>
          <w:rFonts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snapToGrid w:val="0"/>
        <w:jc w:val="left"/>
        <w:rPr>
          <w:rFonts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50"/>
        <w:shd w:val="clear" w:color="auto" w:fill="auto"/>
        <w:spacing w:before="567" w:after="680" w:afterLines="0"/>
        <w:rPr>
          <w:spacing w:val="320"/>
        </w:rPr>
        <w:sectPr>
          <w:headerReference r:id="rId3" w:type="default"/>
          <w:footerReference r:id="rId5" w:type="default"/>
          <w:headerReference r:id="rId4" w:type="even"/>
          <w:footerReference r:id="rId6" w:type="even"/>
          <w:pgSz w:w="11906" w:h="16838"/>
          <w:pgMar w:top="1417" w:right="1134" w:bottom="1134" w:left="1418" w:header="1417" w:footer="1134" w:gutter="0"/>
          <w:pgNumType w:fmt="upperRoman" w:start="1"/>
          <w:cols w:space="425" w:num="1"/>
          <w:docGrid w:type="lines" w:linePitch="312" w:charSpace="0"/>
        </w:sectPr>
      </w:pPr>
    </w:p>
    <w:p>
      <w:pPr>
        <w:pStyle w:val="2"/>
        <w:sectPr>
          <w:footerReference r:id="rId7" w:type="default"/>
          <w:footerReference r:id="rId8" w:type="even"/>
          <w:pgSz w:w="11906" w:h="16838"/>
          <w:pgMar w:top="1417" w:right="1134" w:bottom="1134" w:left="1418" w:header="1417" w:footer="1134" w:gutter="0"/>
          <w:pgNumType w:fmt="upperRoman" w:start="2"/>
          <w:cols w:space="425" w:num="1"/>
          <w:docGrid w:type="lines" w:linePitch="312" w:charSpace="0"/>
        </w:sectPr>
      </w:pPr>
      <w:bookmarkStart w:id="133" w:name="_GoBack"/>
      <w:bookmarkEnd w:id="133"/>
    </w:p>
    <w:p>
      <w:pPr>
        <w:snapToGrid w:val="0"/>
        <w:spacing w:before="567" w:after="680"/>
        <w:jc w:val="center"/>
        <w:outlineLvl w:val="0"/>
        <w:rPr>
          <w:rFonts w:ascii="黑体" w:hAnsi="黑体" w:eastAsia="黑体" w:cs="黑体"/>
          <w:kern w:val="0"/>
          <w:sz w:val="32"/>
          <w:szCs w:val="32"/>
        </w:rPr>
      </w:pPr>
      <w:bookmarkStart w:id="2" w:name="_Toc181977801"/>
      <w:r>
        <w:rPr>
          <w:rFonts w:hint="eastAsia" w:ascii="黑体" w:hAnsi="黑体" w:eastAsia="黑体" w:cs="黑体"/>
          <w:kern w:val="0"/>
          <w:sz w:val="32"/>
          <w:szCs w:val="32"/>
        </w:rPr>
        <w:t>前    言</w:t>
      </w:r>
      <w:bookmarkEnd w:id="2"/>
    </w:p>
    <w:p>
      <w:pPr>
        <w:pStyle w:val="68"/>
        <w:ind w:firstLine="420"/>
      </w:pPr>
      <w:r>
        <w:rPr>
          <w:rFonts w:hint="eastAsia"/>
        </w:rPr>
        <w:t>本文件按照GB/T 1.1—2020《标准化工作导则  第1部分：标准化文件的结构和起草规则》的规定起草。</w:t>
      </w:r>
    </w:p>
    <w:p>
      <w:pPr>
        <w:pStyle w:val="68"/>
        <w:ind w:firstLine="420"/>
      </w:pPr>
      <w:r>
        <w:rPr>
          <w:rFonts w:hint="eastAsia"/>
        </w:rPr>
        <w:t>请注意本文件的某些内容可能涉及专利。本文件的发布机构不承担识别专利的责任。</w:t>
      </w:r>
    </w:p>
    <w:p>
      <w:pPr>
        <w:pStyle w:val="68"/>
        <w:ind w:firstLine="420"/>
      </w:pPr>
      <w:r>
        <w:rPr>
          <w:rFonts w:hint="eastAsia"/>
        </w:rPr>
        <w:t>本文件由苏州市教育局提出、归口并组织实施。</w:t>
      </w:r>
    </w:p>
    <w:p>
      <w:pPr>
        <w:pStyle w:val="68"/>
        <w:ind w:firstLine="420"/>
      </w:pPr>
      <w:r>
        <w:rPr>
          <w:rFonts w:hint="eastAsia"/>
        </w:rPr>
        <w:t>本文件起草单位：常熟理工学院、智享生物科技（苏州）有限公司、苏州市质量和标准化院。</w:t>
      </w:r>
    </w:p>
    <w:p>
      <w:pPr>
        <w:snapToGrid w:val="0"/>
        <w:ind w:firstLine="420" w:firstLineChars="200"/>
      </w:pPr>
      <w:r>
        <w:rPr>
          <w:rFonts w:hint="eastAsia"/>
        </w:rPr>
        <w:t>本文件主要起草人：冀宏、张扬、诸葛鑫、陈梦玲、朱益波、杨志刚、薛旸。</w:t>
      </w:r>
    </w:p>
    <w:p>
      <w:pPr>
        <w:pStyle w:val="2"/>
      </w:pPr>
    </w:p>
    <w:p>
      <w:pPr>
        <w:snapToGrid w:val="0"/>
        <w:ind w:firstLine="420" w:firstLineChars="200"/>
        <w:rPr>
          <w:rFonts w:ascii="宋体" w:hAnsi="宋体" w:eastAsia="宋体" w:cs="宋体"/>
          <w:kern w:val="0"/>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jc w:val="right"/>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sectPr>
          <w:footerReference r:id="rId10" w:type="default"/>
          <w:headerReference r:id="rId9" w:type="even"/>
          <w:footerReference r:id="rId11" w:type="even"/>
          <w:pgSz w:w="11906" w:h="16838"/>
          <w:pgMar w:top="1417" w:right="1134" w:bottom="1134" w:left="1418" w:header="1417" w:footer="1134" w:gutter="0"/>
          <w:pgNumType w:fmt="upperRoman" w:start="2"/>
          <w:cols w:space="425" w:num="1"/>
          <w:docGrid w:type="lines" w:linePitch="312" w:charSpace="0"/>
        </w:sectPr>
      </w:pPr>
    </w:p>
    <w:p>
      <w:pPr>
        <w:snapToGrid w:val="0"/>
        <w:spacing w:before="567" w:after="680"/>
        <w:jc w:val="center"/>
        <w:outlineLvl w:val="0"/>
        <w:rPr>
          <w:rFonts w:ascii="黑体" w:hAnsi="黑体" w:eastAsia="黑体" w:cs="黑体"/>
          <w:kern w:val="0"/>
          <w:sz w:val="32"/>
          <w:szCs w:val="32"/>
        </w:rPr>
      </w:pPr>
      <w:bookmarkStart w:id="3" w:name="_Toc169617138"/>
      <w:bookmarkStart w:id="4" w:name="_Toc153963920"/>
      <w:bookmarkStart w:id="5" w:name="_Toc174113353"/>
      <w:bookmarkStart w:id="6" w:name="_Toc181977802"/>
      <w:r>
        <w:rPr>
          <w:rFonts w:ascii="黑体" w:hAnsi="黑体" w:eastAsia="黑体" w:cs="黑体"/>
          <w:kern w:val="0"/>
          <w:sz w:val="32"/>
          <w:szCs w:val="32"/>
        </w:rPr>
        <w:t>引</w:t>
      </w:r>
      <w:r>
        <w:rPr>
          <w:rFonts w:hint="eastAsia" w:ascii="黑体" w:hAnsi="黑体" w:eastAsia="黑体" w:cs="黑体"/>
          <w:kern w:val="0"/>
          <w:sz w:val="32"/>
          <w:szCs w:val="32"/>
        </w:rPr>
        <w:t xml:space="preserve"> </w:t>
      </w:r>
      <w:r>
        <w:rPr>
          <w:rFonts w:ascii="黑体" w:hAnsi="黑体" w:eastAsia="黑体" w:cs="黑体"/>
          <w:kern w:val="0"/>
          <w:sz w:val="32"/>
          <w:szCs w:val="32"/>
        </w:rPr>
        <w:t xml:space="preserve">   言</w:t>
      </w:r>
      <w:bookmarkEnd w:id="3"/>
      <w:bookmarkEnd w:id="4"/>
      <w:bookmarkEnd w:id="5"/>
      <w:bookmarkEnd w:id="6"/>
    </w:p>
    <w:p>
      <w:pPr>
        <w:pStyle w:val="68"/>
        <w:ind w:firstLine="420"/>
        <w:rPr>
          <w:bCs/>
        </w:rPr>
      </w:pPr>
      <w:r>
        <w:t>2021年12月，国家发改委印发《</w:t>
      </w:r>
      <w:r>
        <w:rPr>
          <w:rFonts w:hint="eastAsia"/>
        </w:rPr>
        <w:t>“</w:t>
      </w:r>
      <w:r>
        <w:t>十四五</w:t>
      </w:r>
      <w:r>
        <w:rPr>
          <w:rFonts w:hint="eastAsia"/>
        </w:rPr>
        <w:t>”</w:t>
      </w:r>
      <w:r>
        <w:t>生物经济发展规划》，依据《规划》，</w:t>
      </w:r>
      <w:r>
        <w:rPr>
          <w:rFonts w:hint="eastAsia"/>
        </w:rPr>
        <w:t>“</w:t>
      </w:r>
      <w:r>
        <w:t>十四五</w:t>
      </w:r>
      <w:r>
        <w:rPr>
          <w:rFonts w:hint="eastAsia"/>
        </w:rPr>
        <w:t>”</w:t>
      </w:r>
      <w:r>
        <w:t>时期，我国生物技术和生物产业加快发展，生物经济成为推动高质量发展的强劲动力</w:t>
      </w:r>
      <w:r>
        <w:rPr>
          <w:rFonts w:hint="eastAsia"/>
        </w:rPr>
        <w:t>。</w:t>
      </w:r>
      <w:r>
        <w:t>生物医药是江苏重点打造的世界级战略性新兴产业，</w:t>
      </w:r>
      <w:r>
        <w:rPr>
          <w:rFonts w:hint="eastAsia"/>
        </w:rPr>
        <w:t>“</w:t>
      </w:r>
      <w:r>
        <w:t>苏锡通</w:t>
      </w:r>
      <w:r>
        <w:rPr>
          <w:rFonts w:hint="eastAsia"/>
        </w:rPr>
        <w:t>”</w:t>
      </w:r>
      <w:r>
        <w:t>（苏州、无锡、南通）生物医药产业综合竞争力全国第一；苏州市将生物医药列为十四五</w:t>
      </w:r>
      <w:r>
        <w:rPr>
          <w:rFonts w:hint="eastAsia"/>
        </w:rPr>
        <w:t>“</w:t>
      </w:r>
      <w:r>
        <w:t>1号产业</w:t>
      </w:r>
      <w:r>
        <w:rPr>
          <w:rFonts w:hint="eastAsia"/>
        </w:rPr>
        <w:t>”</w:t>
      </w:r>
      <w:r>
        <w:t>。</w:t>
      </w:r>
      <w:r>
        <w:rPr>
          <w:rFonts w:hint="eastAsia"/>
        </w:rPr>
        <w:t>然而，高校学术逻辑框架下的人才培养模式已经不能适应产教融合背景下的职业能力导向的人才培养目标要求，专业能力与行业标准匹配度不高，需要尽快建立与职业岗位能力相契合的人才培养新标准，亟需制订能匹配行业标准、生产流程、项目开发的人才培养</w:t>
      </w:r>
      <w:r>
        <w:rPr>
          <w:rFonts w:hint="eastAsia"/>
          <w:bCs/>
        </w:rPr>
        <w:t>新规范。</w:t>
      </w:r>
    </w:p>
    <w:p>
      <w:pPr>
        <w:pStyle w:val="2"/>
        <w:ind w:firstLine="420" w:firstLineChars="200"/>
        <w:rPr>
          <w:rFonts w:ascii="黑体" w:hAnsi="黑体" w:eastAsia="黑体"/>
          <w:sz w:val="32"/>
          <w:szCs w:val="32"/>
        </w:rPr>
      </w:pPr>
      <w:r>
        <w:rPr>
          <w:rFonts w:hint="eastAsia"/>
        </w:rPr>
        <w:t>本文件旨在规定产教融合育人模式下，本科大学生</w:t>
      </w:r>
      <w:r>
        <w:t>生物制药类职业能力的培养规范</w:t>
      </w:r>
      <w:r>
        <w:rPr>
          <w:rFonts w:hint="eastAsia"/>
        </w:rPr>
        <w:t>，实现人才培养与生物制药行业岗位能力需求契合，创建生物制药类产教融合育人的“苏州标准”。</w:t>
      </w:r>
      <w:bookmarkStart w:id="7" w:name="SectionMark4"/>
    </w:p>
    <w:p>
      <w:pPr>
        <w:rPr>
          <w:rFonts w:ascii="黑体" w:hAnsi="黑体" w:eastAsia="黑体"/>
          <w:sz w:val="32"/>
          <w:szCs w:val="32"/>
        </w:rPr>
        <w:sectPr>
          <w:footerReference r:id="rId12" w:type="default"/>
          <w:footerReference r:id="rId13" w:type="even"/>
          <w:pgSz w:w="11906" w:h="16838"/>
          <w:pgMar w:top="1417" w:right="1134" w:bottom="1134" w:left="1418" w:header="1417" w:footer="1134" w:gutter="0"/>
          <w:pgNumType w:fmt="upperRoman" w:start="2"/>
          <w:cols w:space="425" w:num="1"/>
          <w:docGrid w:type="lines" w:linePitch="312" w:charSpace="0"/>
        </w:sectPr>
      </w:pPr>
    </w:p>
    <w:p>
      <w:pPr>
        <w:widowControl/>
        <w:spacing w:before="567" w:after="680"/>
        <w:jc w:val="center"/>
        <w:rPr>
          <w:rFonts w:ascii="黑体" w:hAnsi="黑体" w:eastAsia="黑体"/>
          <w:bCs/>
          <w:sz w:val="32"/>
          <w:szCs w:val="32"/>
        </w:rPr>
      </w:pPr>
      <w:r>
        <w:rPr>
          <w:rFonts w:hint="eastAsia" w:ascii="黑体" w:hAnsi="宋体" w:eastAsia="黑体"/>
          <w:sz w:val="32"/>
          <w:szCs w:val="32"/>
        </w:rPr>
        <w:t xml:space="preserve">行业产教融合共同体 </w:t>
      </w:r>
      <w:r>
        <w:rPr>
          <w:rFonts w:ascii="黑体" w:hAnsi="宋体" w:eastAsia="黑体"/>
          <w:sz w:val="32"/>
          <w:szCs w:val="32"/>
        </w:rPr>
        <w:t>生物制药类职业能力培养规范</w:t>
      </w:r>
    </w:p>
    <w:bookmarkEnd w:id="7"/>
    <w:p>
      <w:pPr>
        <w:pStyle w:val="67"/>
        <w:spacing w:before="312" w:after="312"/>
      </w:pPr>
      <w:bookmarkStart w:id="8" w:name="_Toc26648465"/>
      <w:bookmarkStart w:id="9" w:name="_Toc26718930"/>
      <w:bookmarkStart w:id="10" w:name="_Toc169617139"/>
      <w:bookmarkStart w:id="11" w:name="_Toc24884218"/>
      <w:bookmarkStart w:id="12" w:name="_Toc24884211"/>
      <w:bookmarkStart w:id="13" w:name="_Toc26986771"/>
      <w:bookmarkStart w:id="14" w:name="_Toc97191423"/>
      <w:bookmarkStart w:id="15" w:name="_Toc181977803"/>
      <w:bookmarkStart w:id="16" w:name="_Toc17233325"/>
      <w:bookmarkStart w:id="17" w:name="_Toc153963921"/>
      <w:bookmarkStart w:id="18" w:name="_Toc174113354"/>
      <w:bookmarkStart w:id="19" w:name="_Toc26986530"/>
      <w:bookmarkStart w:id="20" w:name="_Toc17233333"/>
      <w:bookmarkStart w:id="21" w:name="_Toc120179958"/>
      <w:bookmarkStart w:id="22" w:name="_Toc8436"/>
      <w:r>
        <w:rPr>
          <w:rFonts w:hint="eastAsia"/>
        </w:rPr>
        <w:t>范围</w:t>
      </w:r>
      <w:bookmarkEnd w:id="8"/>
      <w:bookmarkEnd w:id="9"/>
      <w:bookmarkEnd w:id="10"/>
      <w:bookmarkEnd w:id="11"/>
      <w:bookmarkEnd w:id="12"/>
      <w:bookmarkEnd w:id="13"/>
      <w:bookmarkEnd w:id="14"/>
      <w:bookmarkEnd w:id="15"/>
      <w:bookmarkEnd w:id="16"/>
      <w:bookmarkEnd w:id="17"/>
      <w:bookmarkEnd w:id="18"/>
      <w:bookmarkEnd w:id="19"/>
      <w:bookmarkEnd w:id="20"/>
    </w:p>
    <w:p>
      <w:pPr>
        <w:pStyle w:val="68"/>
        <w:ind w:firstLine="420"/>
      </w:pPr>
      <w:bookmarkStart w:id="23" w:name="_Toc26648466"/>
      <w:bookmarkStart w:id="24" w:name="_Toc24884212"/>
      <w:bookmarkStart w:id="25" w:name="_Toc17233326"/>
      <w:bookmarkStart w:id="26" w:name="_Toc17233334"/>
      <w:bookmarkStart w:id="27" w:name="_Toc24884219"/>
      <w:r>
        <w:t>本文件规定了</w:t>
      </w:r>
      <w:bookmarkStart w:id="28" w:name="_Hlk181881383"/>
      <w:r>
        <w:t>行业</w:t>
      </w:r>
      <w:r>
        <w:rPr>
          <w:rFonts w:hint="eastAsia"/>
        </w:rPr>
        <w:t>产教融合共同体</w:t>
      </w:r>
      <w:bookmarkEnd w:id="28"/>
      <w:r>
        <w:t>生物制药类职业能力培养的培养目标、培养模式、教学保障</w:t>
      </w:r>
      <w:r>
        <w:rPr>
          <w:rFonts w:hint="eastAsia"/>
        </w:rPr>
        <w:t>、</w:t>
      </w:r>
      <w:r>
        <w:t>评价考核</w:t>
      </w:r>
      <w:r>
        <w:rPr>
          <w:rFonts w:hint="eastAsia"/>
        </w:rPr>
        <w:t>以及</w:t>
      </w:r>
      <w:r>
        <w:t>持续改进。</w:t>
      </w:r>
    </w:p>
    <w:p>
      <w:pPr>
        <w:pStyle w:val="68"/>
        <w:ind w:firstLine="420"/>
      </w:pPr>
      <w:r>
        <w:t>本文件适用于</w:t>
      </w:r>
      <w:bookmarkStart w:id="29" w:name="_Hlk181889128"/>
      <w:r>
        <w:t>行业</w:t>
      </w:r>
      <w:r>
        <w:rPr>
          <w:rFonts w:hint="eastAsia"/>
        </w:rPr>
        <w:t>产教融合共同体</w:t>
      </w:r>
      <w:bookmarkEnd w:id="29"/>
      <w:r>
        <w:rPr>
          <w:rFonts w:hint="eastAsia"/>
        </w:rPr>
        <w:t>生物制药类职业能力培养工作的开展</w:t>
      </w:r>
      <w:r>
        <w:t>。</w:t>
      </w:r>
    </w:p>
    <w:p>
      <w:pPr>
        <w:pStyle w:val="67"/>
        <w:spacing w:before="312" w:after="312"/>
      </w:pPr>
      <w:bookmarkStart w:id="30" w:name="_Toc26718931"/>
      <w:bookmarkStart w:id="31" w:name="_Toc97191424"/>
      <w:bookmarkStart w:id="32" w:name="_Toc153963922"/>
      <w:bookmarkStart w:id="33" w:name="_Toc26986772"/>
      <w:bookmarkStart w:id="34" w:name="_Toc169617140"/>
      <w:bookmarkStart w:id="35" w:name="_Toc26986531"/>
      <w:bookmarkStart w:id="36" w:name="_Toc181977804"/>
      <w:bookmarkStart w:id="37" w:name="_Toc174113355"/>
      <w:r>
        <w:rPr>
          <w:rFonts w:hint="eastAsia"/>
        </w:rPr>
        <w:t>规范性引用文件</w:t>
      </w:r>
      <w:bookmarkEnd w:id="23"/>
      <w:bookmarkEnd w:id="24"/>
      <w:bookmarkEnd w:id="25"/>
      <w:bookmarkEnd w:id="26"/>
      <w:bookmarkEnd w:id="27"/>
      <w:bookmarkEnd w:id="30"/>
      <w:bookmarkEnd w:id="31"/>
      <w:bookmarkEnd w:id="32"/>
      <w:bookmarkEnd w:id="33"/>
      <w:bookmarkEnd w:id="34"/>
      <w:bookmarkEnd w:id="35"/>
      <w:bookmarkEnd w:id="36"/>
      <w:bookmarkEnd w:id="37"/>
    </w:p>
    <w:sdt>
      <w:sdtPr>
        <w:rPr>
          <w:rFonts w:hint="eastAsia"/>
        </w:rPr>
        <w:id w:val="715848253"/>
        <w:placeholder>
          <w:docPart w:val="12BC4967CEEA43EFA0822C94CF9260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8"/>
            <w:ind w:firstLine="420"/>
          </w:pPr>
          <w:r>
            <w:rPr>
              <w:rFonts w:hint="eastAsia"/>
            </w:rPr>
            <w:t>本文件没有规范性引用文件。</w:t>
          </w:r>
        </w:p>
      </w:sdtContent>
    </w:sdt>
    <w:p>
      <w:pPr>
        <w:pStyle w:val="67"/>
        <w:spacing w:before="312" w:after="312"/>
      </w:pPr>
      <w:bookmarkStart w:id="38" w:name="_Toc169617141"/>
      <w:bookmarkStart w:id="39" w:name="_Toc97191425"/>
      <w:bookmarkStart w:id="40" w:name="_Toc181977805"/>
      <w:bookmarkStart w:id="41" w:name="_Toc174113356"/>
      <w:bookmarkStart w:id="42" w:name="_Toc153963923"/>
      <w:r>
        <w:rPr>
          <w:rFonts w:hint="eastAsia"/>
          <w:szCs w:val="21"/>
        </w:rPr>
        <w:t>术语和定义</w:t>
      </w:r>
      <w:bookmarkEnd w:id="38"/>
      <w:bookmarkEnd w:id="39"/>
      <w:bookmarkEnd w:id="40"/>
      <w:bookmarkEnd w:id="41"/>
      <w:bookmarkEnd w:id="42"/>
    </w:p>
    <w:sdt>
      <w:sdtPr>
        <w:id w:val="-1909835108"/>
        <w:placeholder>
          <w:docPart w:val="EADB00A4398B45709CC3CD4308F5D6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8"/>
            <w:ind w:firstLine="420"/>
          </w:pPr>
          <w:bookmarkStart w:id="43" w:name="_Toc26986532"/>
          <w:bookmarkEnd w:id="43"/>
          <w:r>
            <w:t>下列术语和定义适用于本文件。</w:t>
          </w:r>
        </w:p>
      </w:sdtContent>
    </w:sdt>
    <w:p>
      <w:pPr>
        <w:pStyle w:val="64"/>
        <w:ind w:left="420" w:hanging="420" w:hangingChars="200"/>
        <w:rPr>
          <w:rFonts w:ascii="黑体" w:hAnsi="黑体" w:eastAsia="黑体"/>
        </w:rPr>
      </w:pPr>
    </w:p>
    <w:p>
      <w:pPr>
        <w:pStyle w:val="64"/>
        <w:numPr>
          <w:ilvl w:val="0"/>
          <w:numId w:val="0"/>
        </w:numPr>
        <w:ind w:left="420"/>
        <w:rPr>
          <w:rFonts w:ascii="黑体" w:hAnsi="黑体" w:eastAsia="黑体"/>
        </w:rPr>
      </w:pPr>
      <w:r>
        <w:rPr>
          <w:rFonts w:hint="eastAsia" w:ascii="黑体" w:hAnsi="黑体" w:eastAsia="黑体"/>
        </w:rPr>
        <w:t>行业产教融合共同体  the community of industry-university cooperation</w:t>
      </w:r>
    </w:p>
    <w:p>
      <w:pPr>
        <w:pStyle w:val="68"/>
        <w:ind w:firstLine="420"/>
      </w:pPr>
      <w:r>
        <w:t>一种由行业龙头企业、高等院校、职业学校等主体共同参与构建，为了整合行业内的教育资源和产业资源，促进教育与产业在人才培养的协同合作，使教育培养和产业需求相互契合，为社会经济发展提供适应性强的劳动者的产教融合组织形式。</w:t>
      </w:r>
    </w:p>
    <w:p>
      <w:pPr>
        <w:pStyle w:val="67"/>
        <w:spacing w:before="312" w:after="312"/>
      </w:pPr>
      <w:bookmarkStart w:id="44" w:name="_Toc153963924"/>
      <w:bookmarkStart w:id="45" w:name="_Toc169617142"/>
      <w:bookmarkStart w:id="46" w:name="_Toc174113357"/>
      <w:bookmarkStart w:id="47" w:name="_Toc181977806"/>
      <w:r>
        <w:t>培养目标</w:t>
      </w:r>
      <w:bookmarkEnd w:id="44"/>
      <w:bookmarkEnd w:id="45"/>
      <w:bookmarkEnd w:id="46"/>
      <w:bookmarkEnd w:id="47"/>
    </w:p>
    <w:p>
      <w:pPr>
        <w:pStyle w:val="66"/>
        <w:spacing w:before="156" w:after="156"/>
      </w:pPr>
      <w:bookmarkStart w:id="48" w:name="_Toc174113358"/>
      <w:bookmarkStart w:id="49" w:name="_Toc169617143"/>
      <w:bookmarkStart w:id="50" w:name="_Toc181977807"/>
      <w:bookmarkStart w:id="51" w:name="_Toc153963925"/>
      <w:r>
        <w:rPr>
          <w:rFonts w:hint="eastAsia"/>
        </w:rPr>
        <w:t>总体目标</w:t>
      </w:r>
      <w:bookmarkEnd w:id="48"/>
      <w:bookmarkEnd w:id="49"/>
      <w:bookmarkEnd w:id="50"/>
      <w:bookmarkEnd w:id="51"/>
    </w:p>
    <w:p>
      <w:pPr>
        <w:pStyle w:val="68"/>
        <w:ind w:firstLine="420"/>
      </w:pPr>
      <w:r>
        <w:rPr>
          <w:rFonts w:hint="eastAsia"/>
        </w:rPr>
        <w:t>提高生物制药相关本科专业学生的职业能力，提升产教融合培养行业人才的质量和水平，培养能够解决生物制药工艺与质控、有效性与安全性评价、药品注册与合规管理复杂工程问题的能力，可胜任生物药生产、技术工艺改进、质量评价与控制、新产品注册、生产管理相关岗位工作的一线技术及管理工程师，为生物医药产业发展输送高素质工程技术人才。</w:t>
      </w:r>
    </w:p>
    <w:p>
      <w:pPr>
        <w:pStyle w:val="66"/>
        <w:spacing w:before="156" w:after="156"/>
      </w:pPr>
      <w:bookmarkStart w:id="52" w:name="_Toc169617144"/>
      <w:bookmarkStart w:id="53" w:name="_Toc153963926"/>
      <w:bookmarkStart w:id="54" w:name="_Toc174113359"/>
      <w:bookmarkStart w:id="55" w:name="_Toc181977808"/>
      <w:r>
        <w:rPr>
          <w:rFonts w:hint="eastAsia"/>
        </w:rPr>
        <w:t>工程能力</w:t>
      </w:r>
      <w:bookmarkEnd w:id="52"/>
      <w:bookmarkEnd w:id="53"/>
      <w:bookmarkEnd w:id="54"/>
      <w:bookmarkEnd w:id="55"/>
    </w:p>
    <w:p>
      <w:pPr>
        <w:pStyle w:val="68"/>
        <w:ind w:firstLine="420"/>
      </w:pPr>
      <w:r>
        <w:rPr>
          <w:rFonts w:hint="eastAsia"/>
        </w:rPr>
        <w:t>工程能力培养包括以下方面：</w:t>
      </w:r>
    </w:p>
    <w:p>
      <w:pPr>
        <w:pStyle w:val="56"/>
        <w:numPr>
          <w:ilvl w:val="0"/>
          <w:numId w:val="14"/>
        </w:numPr>
        <w:ind w:left="840" w:leftChars="200" w:hanging="420" w:hangingChars="200"/>
      </w:pPr>
      <w:r>
        <w:rPr>
          <w:rFonts w:hint="eastAsia"/>
        </w:rPr>
        <w:t>培养生物药产品开发、生产、质控、销售、临床应用等工程能力；</w:t>
      </w:r>
    </w:p>
    <w:p>
      <w:pPr>
        <w:pStyle w:val="56"/>
        <w:numPr>
          <w:ilvl w:val="0"/>
          <w:numId w:val="14"/>
        </w:numPr>
        <w:ind w:left="840" w:leftChars="200" w:hanging="420" w:hangingChars="200"/>
      </w:pPr>
      <w:r>
        <w:rPr>
          <w:rFonts w:hint="eastAsia"/>
        </w:rPr>
        <w:t>培养在现代产业和可持续发展环境下，从事复杂工程活动的能力；</w:t>
      </w:r>
    </w:p>
    <w:p>
      <w:pPr>
        <w:pStyle w:val="56"/>
        <w:numPr>
          <w:ilvl w:val="0"/>
          <w:numId w:val="14"/>
        </w:numPr>
        <w:ind w:left="840" w:leftChars="200" w:hanging="420" w:hangingChars="200"/>
      </w:pPr>
      <w:r>
        <w:rPr>
          <w:rFonts w:hint="eastAsia"/>
        </w:rPr>
        <w:t>培养解决生物药产品开发、生产、质控等实际复杂工程问题的能力；</w:t>
      </w:r>
    </w:p>
    <w:p>
      <w:pPr>
        <w:pStyle w:val="56"/>
        <w:numPr>
          <w:ilvl w:val="0"/>
          <w:numId w:val="14"/>
        </w:numPr>
        <w:ind w:left="840" w:leftChars="200" w:hanging="420" w:hangingChars="200"/>
      </w:pPr>
      <w:r>
        <w:rPr>
          <w:rFonts w:hint="eastAsia"/>
        </w:rPr>
        <w:t>培养在解决方案的设计开发中的创造力和创新能力。</w:t>
      </w:r>
    </w:p>
    <w:p>
      <w:pPr>
        <w:pStyle w:val="66"/>
        <w:spacing w:before="156" w:after="156"/>
      </w:pPr>
      <w:bookmarkStart w:id="56" w:name="_Toc174113360"/>
      <w:bookmarkStart w:id="57" w:name="_Toc169617145"/>
      <w:bookmarkStart w:id="58" w:name="_Toc181977809"/>
      <w:bookmarkStart w:id="59" w:name="_Toc153963927"/>
      <w:r>
        <w:rPr>
          <w:rFonts w:hint="eastAsia"/>
        </w:rPr>
        <w:t>工程素养</w:t>
      </w:r>
      <w:bookmarkEnd w:id="56"/>
      <w:bookmarkEnd w:id="57"/>
      <w:bookmarkEnd w:id="58"/>
      <w:bookmarkEnd w:id="59"/>
    </w:p>
    <w:p>
      <w:pPr>
        <w:pStyle w:val="68"/>
        <w:ind w:firstLine="420"/>
      </w:pPr>
      <w:r>
        <w:rPr>
          <w:rFonts w:hint="eastAsia"/>
        </w:rPr>
        <w:t>工程素养培养包括以下方面：</w:t>
      </w:r>
    </w:p>
    <w:p>
      <w:pPr>
        <w:pStyle w:val="56"/>
        <w:numPr>
          <w:ilvl w:val="0"/>
          <w:numId w:val="15"/>
        </w:numPr>
        <w:ind w:left="840" w:leftChars="200" w:hanging="420" w:hangingChars="200"/>
      </w:pPr>
      <w:r>
        <w:rPr>
          <w:rFonts w:hint="eastAsia"/>
        </w:rPr>
        <w:t>具备沟通、合作、伦理和可持续发展方面的必备素质，并融入团队合作、合规管理、环境保护等系统的工作方式中；</w:t>
      </w:r>
    </w:p>
    <w:p>
      <w:pPr>
        <w:pStyle w:val="56"/>
        <w:numPr>
          <w:ilvl w:val="0"/>
          <w:numId w:val="15"/>
        </w:numPr>
        <w:ind w:left="840" w:leftChars="200" w:hanging="420" w:hangingChars="200"/>
      </w:pPr>
      <w:r>
        <w:rPr>
          <w:rFonts w:hint="eastAsia"/>
        </w:rPr>
        <w:t>能够跟随技术发展，熟悉生物制药相关标准、法律及其在复杂工程活动中的应用；</w:t>
      </w:r>
    </w:p>
    <w:p>
      <w:pPr>
        <w:pStyle w:val="56"/>
        <w:numPr>
          <w:ilvl w:val="0"/>
          <w:numId w:val="15"/>
        </w:numPr>
        <w:ind w:left="840" w:leftChars="200" w:hanging="420" w:hangingChars="200"/>
      </w:pPr>
      <w:r>
        <w:rPr>
          <w:rFonts w:hint="eastAsia"/>
        </w:rPr>
        <w:t>具备一定的国际视野，熟悉生物制药领域国内外的技术发展及职业发展趋势。</w:t>
      </w:r>
    </w:p>
    <w:p>
      <w:pPr>
        <w:pStyle w:val="66"/>
        <w:spacing w:before="156" w:after="156"/>
      </w:pPr>
      <w:bookmarkStart w:id="60" w:name="_Toc153963928"/>
      <w:bookmarkStart w:id="61" w:name="_Toc174113361"/>
      <w:bookmarkStart w:id="62" w:name="_Toc181977810"/>
      <w:bookmarkStart w:id="63" w:name="_Toc169617146"/>
      <w:r>
        <w:rPr>
          <w:rFonts w:hint="eastAsia"/>
        </w:rPr>
        <w:t>职业发展</w:t>
      </w:r>
      <w:bookmarkEnd w:id="60"/>
      <w:bookmarkEnd w:id="61"/>
      <w:bookmarkEnd w:id="62"/>
      <w:bookmarkEnd w:id="63"/>
    </w:p>
    <w:p>
      <w:pPr>
        <w:pStyle w:val="68"/>
        <w:ind w:firstLine="420"/>
      </w:pPr>
      <w:r>
        <w:rPr>
          <w:rFonts w:hint="eastAsia"/>
        </w:rPr>
        <w:t>职业发展培养包括以下方面：</w:t>
      </w:r>
    </w:p>
    <w:p>
      <w:pPr>
        <w:pStyle w:val="56"/>
        <w:numPr>
          <w:ilvl w:val="0"/>
          <w:numId w:val="16"/>
        </w:numPr>
        <w:ind w:left="840" w:leftChars="200" w:hanging="420" w:hangingChars="200"/>
      </w:pPr>
      <w:r>
        <w:rPr>
          <w:rFonts w:hint="eastAsia"/>
        </w:rPr>
        <w:t>具备持续学习和职业发展能力；</w:t>
      </w:r>
    </w:p>
    <w:p>
      <w:pPr>
        <w:pStyle w:val="56"/>
        <w:numPr>
          <w:ilvl w:val="0"/>
          <w:numId w:val="16"/>
        </w:numPr>
        <w:ind w:left="840" w:leftChars="200" w:hanging="420" w:hangingChars="200"/>
      </w:pPr>
      <w:r>
        <w:rPr>
          <w:rFonts w:hint="eastAsia"/>
        </w:rPr>
        <w:t>能够自我学术提升；</w:t>
      </w:r>
    </w:p>
    <w:p>
      <w:pPr>
        <w:pStyle w:val="56"/>
        <w:numPr>
          <w:ilvl w:val="0"/>
          <w:numId w:val="16"/>
        </w:numPr>
        <w:ind w:left="840" w:leftChars="200" w:hanging="420" w:hangingChars="200"/>
      </w:pPr>
      <w:r>
        <w:rPr>
          <w:rFonts w:hint="eastAsia"/>
        </w:rPr>
        <w:t>能在生物药生产企业或生物药研发机构成为专业技术主管或技术管理骨干；</w:t>
      </w:r>
    </w:p>
    <w:p>
      <w:pPr>
        <w:pStyle w:val="56"/>
        <w:numPr>
          <w:ilvl w:val="0"/>
          <w:numId w:val="16"/>
        </w:numPr>
        <w:ind w:left="840" w:leftChars="200" w:hanging="420" w:hangingChars="200"/>
      </w:pPr>
      <w:r>
        <w:rPr>
          <w:rFonts w:hint="eastAsia"/>
        </w:rPr>
        <w:t>组织或承担完成工程设计、技术开发、工艺改进、工程管理、运行维护等复杂工程活动。</w:t>
      </w:r>
    </w:p>
    <w:p>
      <w:pPr>
        <w:pStyle w:val="67"/>
        <w:spacing w:before="312" w:after="312"/>
      </w:pPr>
      <w:bookmarkStart w:id="64" w:name="_Toc153963929"/>
      <w:bookmarkStart w:id="65" w:name="_Toc174113362"/>
      <w:bookmarkStart w:id="66" w:name="_Toc169617147"/>
      <w:bookmarkStart w:id="67" w:name="_Toc181977811"/>
      <w:r>
        <w:rPr>
          <w:rFonts w:hint="eastAsia"/>
        </w:rPr>
        <w:t>培养模式</w:t>
      </w:r>
      <w:bookmarkEnd w:id="64"/>
      <w:bookmarkEnd w:id="65"/>
      <w:bookmarkEnd w:id="66"/>
      <w:bookmarkEnd w:id="67"/>
    </w:p>
    <w:p>
      <w:pPr>
        <w:pStyle w:val="66"/>
        <w:spacing w:before="156" w:after="156"/>
      </w:pPr>
      <w:bookmarkStart w:id="68" w:name="_Toc153963930"/>
      <w:bookmarkStart w:id="69" w:name="_Toc169617148"/>
      <w:bookmarkStart w:id="70" w:name="_Toc181977812"/>
      <w:bookmarkStart w:id="71" w:name="_Toc174113363"/>
      <w:r>
        <w:rPr>
          <w:rFonts w:hint="eastAsia"/>
        </w:rPr>
        <w:t>培养主体</w:t>
      </w:r>
      <w:bookmarkEnd w:id="68"/>
      <w:bookmarkEnd w:id="69"/>
      <w:bookmarkEnd w:id="70"/>
      <w:bookmarkEnd w:id="71"/>
    </w:p>
    <w:p>
      <w:pPr>
        <w:pStyle w:val="70"/>
        <w:spacing w:before="156" w:after="156"/>
      </w:pPr>
      <w:bookmarkStart w:id="72" w:name="_Toc181977813"/>
      <w:r>
        <w:rPr>
          <w:rFonts w:hint="eastAsia"/>
        </w:rPr>
        <w:t>概述</w:t>
      </w:r>
      <w:bookmarkEnd w:id="72"/>
    </w:p>
    <w:p>
      <w:pPr>
        <w:pStyle w:val="68"/>
        <w:ind w:firstLine="420"/>
      </w:pPr>
      <w:r>
        <w:rPr>
          <w:rFonts w:hint="eastAsia"/>
        </w:rPr>
        <w:t>实施产教融合协同育人模式，由高校和行业企业多个培养主体承担工作任务，协同实施职业能力培养计划。</w:t>
      </w:r>
    </w:p>
    <w:p>
      <w:pPr>
        <w:pStyle w:val="70"/>
        <w:spacing w:before="156" w:after="156"/>
      </w:pPr>
      <w:bookmarkStart w:id="73" w:name="_Toc181977814"/>
      <w:r>
        <w:rPr>
          <w:rFonts w:hint="eastAsia"/>
        </w:rPr>
        <w:t>高校</w:t>
      </w:r>
      <w:bookmarkEnd w:id="73"/>
    </w:p>
    <w:p>
      <w:pPr>
        <w:pStyle w:val="100"/>
        <w:numPr>
          <w:ilvl w:val="4"/>
          <w:numId w:val="8"/>
        </w:numPr>
      </w:pPr>
      <w:r>
        <w:rPr>
          <w:rFonts w:hint="eastAsia"/>
        </w:rPr>
        <w:t>具有独立法人资质的本科院校与行业企业共建的产教融合共同体，或签订了权责明晰的产学研合作协议。</w:t>
      </w:r>
    </w:p>
    <w:p>
      <w:pPr>
        <w:pStyle w:val="100"/>
        <w:numPr>
          <w:ilvl w:val="4"/>
          <w:numId w:val="8"/>
        </w:numPr>
      </w:pPr>
      <w:r>
        <w:rPr>
          <w:rFonts w:hint="eastAsia"/>
        </w:rPr>
        <w:t>学校开设生物制药、生物工程、合成生物学、生物技术等生物制药相关本科专业。</w:t>
      </w:r>
    </w:p>
    <w:p>
      <w:pPr>
        <w:pStyle w:val="100"/>
        <w:numPr>
          <w:ilvl w:val="4"/>
          <w:numId w:val="8"/>
        </w:numPr>
      </w:pPr>
      <w:r>
        <w:rPr>
          <w:rFonts w:hint="eastAsia"/>
        </w:rPr>
        <w:t>具有校企共同参与的理事会、教学指导委员会和管理运营团队，在培养目标制定、师资队伍建设、产教融合课程开发、教学实施、学生管理、成果评价等方面协同工作，其中企业专职管理人员占比不少于30%。</w:t>
      </w:r>
    </w:p>
    <w:p>
      <w:pPr>
        <w:pStyle w:val="100"/>
        <w:numPr>
          <w:ilvl w:val="4"/>
          <w:numId w:val="8"/>
        </w:numPr>
      </w:pPr>
      <w:r>
        <w:rPr>
          <w:rFonts w:hint="eastAsia"/>
        </w:rPr>
        <w:t>具有理事会章程、教学指导委员会章程、学生管理、师资管理、质量评价、培训中心管理、财务管理等方面完备的规章制度。</w:t>
      </w:r>
    </w:p>
    <w:p>
      <w:pPr>
        <w:pStyle w:val="70"/>
        <w:spacing w:before="156" w:after="156"/>
      </w:pPr>
      <w:bookmarkStart w:id="74" w:name="_Toc181977815"/>
      <w:r>
        <w:rPr>
          <w:rFonts w:hint="eastAsia"/>
        </w:rPr>
        <w:t>企业</w:t>
      </w:r>
      <w:bookmarkEnd w:id="74"/>
    </w:p>
    <w:p>
      <w:pPr>
        <w:pStyle w:val="68"/>
        <w:ind w:firstLine="420"/>
      </w:pPr>
      <w:r>
        <w:rPr>
          <w:rFonts w:hint="eastAsia"/>
        </w:rPr>
        <w:t>合作企业经营范围应涵盖生物药研发、生产、分析检测等领域，并设置独立的培训部门或教育组织机构。</w:t>
      </w:r>
    </w:p>
    <w:p>
      <w:pPr>
        <w:pStyle w:val="66"/>
        <w:spacing w:before="156" w:after="156"/>
      </w:pPr>
      <w:bookmarkStart w:id="75" w:name="_Toc181977816"/>
      <w:bookmarkStart w:id="76" w:name="_Toc174113364"/>
      <w:bookmarkStart w:id="77" w:name="_Toc153963931"/>
      <w:bookmarkStart w:id="78" w:name="_Toc169617149"/>
      <w:r>
        <w:rPr>
          <w:rFonts w:hint="eastAsia"/>
        </w:rPr>
        <w:t>课程设置</w:t>
      </w:r>
      <w:bookmarkEnd w:id="75"/>
      <w:bookmarkEnd w:id="76"/>
      <w:bookmarkEnd w:id="77"/>
      <w:bookmarkEnd w:id="78"/>
    </w:p>
    <w:p>
      <w:pPr>
        <w:pStyle w:val="69"/>
      </w:pPr>
      <w:r>
        <w:rPr>
          <w:rFonts w:hint="eastAsia"/>
        </w:rPr>
        <w:t>应遵循基于学习产出的教育模式（OBE）反向设计原则（由实际工程案例反推所需能力），结合能力指标确立生物制药行业课程（群）的框架和课程内容，每门课程应能够实现对应的能力目标。</w:t>
      </w:r>
    </w:p>
    <w:p>
      <w:pPr>
        <w:pStyle w:val="69"/>
      </w:pPr>
      <w:r>
        <w:rPr>
          <w:rFonts w:hint="eastAsia"/>
        </w:rPr>
        <w:t>课程应包括理论课程、实验课程和实践课程，其中，实验与实践课程占比不低于50%；集中教学与分散教学相结合，线上教学与线下教学相结合，由企业教师和高校教师共同完成课程开发。</w:t>
      </w:r>
    </w:p>
    <w:p>
      <w:pPr>
        <w:pStyle w:val="69"/>
      </w:pPr>
      <w:r>
        <w:rPr>
          <w:rFonts w:hint="eastAsia"/>
        </w:rPr>
        <w:t>课程设置聚焦现代生物制药技术与工程实践领域，涵盖单克隆抗体、抗体偶联、多肽蛋白等生物药物的临床前评价、质量控制、大分子制剂、生产工艺开发、中试生产与规模化量产及药事管理法规等方面；培养学生分子生物学、细胞培养、微生物发酵、蛋白纯化、合规性验证等生物制药岗位能力。课程体系示例见附录A。</w:t>
      </w:r>
    </w:p>
    <w:p>
      <w:pPr>
        <w:pStyle w:val="66"/>
        <w:spacing w:before="156" w:after="156"/>
      </w:pPr>
      <w:bookmarkStart w:id="79" w:name="_Toc153963932"/>
      <w:bookmarkStart w:id="80" w:name="_Toc169617150"/>
      <w:bookmarkStart w:id="81" w:name="_Toc174113365"/>
      <w:bookmarkStart w:id="82" w:name="_Toc181977817"/>
      <w:r>
        <w:rPr>
          <w:rFonts w:hint="eastAsia"/>
        </w:rPr>
        <w:t>实施</w:t>
      </w:r>
      <w:bookmarkEnd w:id="79"/>
      <w:bookmarkEnd w:id="80"/>
      <w:bookmarkEnd w:id="81"/>
      <w:r>
        <w:rPr>
          <w:rFonts w:hint="eastAsia"/>
        </w:rPr>
        <w:t>要求</w:t>
      </w:r>
      <w:bookmarkEnd w:id="82"/>
    </w:p>
    <w:p>
      <w:pPr>
        <w:pStyle w:val="68"/>
        <w:ind w:firstLine="420"/>
      </w:pPr>
      <w:r>
        <w:t>应符合以下要求：</w:t>
      </w:r>
    </w:p>
    <w:p>
      <w:pPr>
        <w:pStyle w:val="101"/>
        <w:numPr>
          <w:ilvl w:val="0"/>
          <w:numId w:val="17"/>
        </w:numPr>
      </w:pPr>
      <w:bookmarkStart w:id="83" w:name="_Toc169617151"/>
      <w:bookmarkStart w:id="84" w:name="_Toc153963933"/>
      <w:bookmarkStart w:id="85" w:name="_Toc174113366"/>
      <w:r>
        <w:rPr>
          <w:rFonts w:hint="eastAsia"/>
        </w:rPr>
        <w:t>完整展示就业目标指向的工作环境，指导学生参与；</w:t>
      </w:r>
    </w:p>
    <w:p>
      <w:pPr>
        <w:pStyle w:val="101"/>
      </w:pPr>
      <w:r>
        <w:rPr>
          <w:rFonts w:hint="eastAsia"/>
        </w:rPr>
        <w:t>体现就业目标、职业技能、职业知识的内在关联；</w:t>
      </w:r>
    </w:p>
    <w:p>
      <w:pPr>
        <w:pStyle w:val="101"/>
      </w:pPr>
      <w:r>
        <w:rPr>
          <w:rFonts w:hint="eastAsia"/>
        </w:rPr>
        <w:t>体现初次就业和职业发展阶段不同的工作效用目标；</w:t>
      </w:r>
    </w:p>
    <w:p>
      <w:pPr>
        <w:pStyle w:val="101"/>
      </w:pPr>
      <w:r>
        <w:rPr>
          <w:rFonts w:hint="eastAsia"/>
        </w:rPr>
        <w:t>根据授课内容特点，课程教学可采用不同的教学方法和教学方式。</w:t>
      </w:r>
    </w:p>
    <w:p>
      <w:pPr>
        <w:pStyle w:val="67"/>
        <w:spacing w:before="312" w:after="312"/>
      </w:pPr>
      <w:bookmarkStart w:id="86" w:name="_Toc181977818"/>
      <w:r>
        <w:t>教学保障</w:t>
      </w:r>
      <w:bookmarkEnd w:id="83"/>
      <w:bookmarkEnd w:id="84"/>
      <w:bookmarkEnd w:id="85"/>
      <w:bookmarkEnd w:id="86"/>
    </w:p>
    <w:p>
      <w:pPr>
        <w:pStyle w:val="66"/>
        <w:spacing w:before="156" w:after="156"/>
      </w:pPr>
      <w:bookmarkStart w:id="87" w:name="_Toc174113367"/>
      <w:bookmarkStart w:id="88" w:name="_Toc153963934"/>
      <w:bookmarkStart w:id="89" w:name="_Toc181977819"/>
      <w:bookmarkStart w:id="90" w:name="_Toc169617152"/>
      <w:r>
        <w:rPr>
          <w:rFonts w:hint="eastAsia"/>
        </w:rPr>
        <w:t>师资队伍</w:t>
      </w:r>
      <w:bookmarkEnd w:id="87"/>
      <w:bookmarkEnd w:id="88"/>
      <w:bookmarkEnd w:id="89"/>
      <w:bookmarkEnd w:id="90"/>
    </w:p>
    <w:p>
      <w:pPr>
        <w:pStyle w:val="70"/>
        <w:spacing w:before="156" w:after="156"/>
      </w:pPr>
      <w:bookmarkStart w:id="91" w:name="_Toc181977820"/>
      <w:r>
        <w:rPr>
          <w:rFonts w:hint="eastAsia"/>
        </w:rPr>
        <w:t>高校教师</w:t>
      </w:r>
      <w:bookmarkEnd w:id="91"/>
    </w:p>
    <w:p>
      <w:pPr>
        <w:pStyle w:val="68"/>
        <w:ind w:firstLine="420"/>
      </w:pPr>
      <w:r>
        <w:t>应符合以下要求：</w:t>
      </w:r>
    </w:p>
    <w:p>
      <w:pPr>
        <w:pStyle w:val="101"/>
        <w:numPr>
          <w:ilvl w:val="0"/>
          <w:numId w:val="18"/>
        </w:numPr>
      </w:pPr>
      <w:r>
        <w:rPr>
          <w:rFonts w:hint="eastAsia"/>
        </w:rPr>
        <w:t>拥有高校教师资格证并具有与讲授课程相关的专业背景；</w:t>
      </w:r>
    </w:p>
    <w:p>
      <w:pPr>
        <w:pStyle w:val="101"/>
      </w:pPr>
      <w:r>
        <w:rPr>
          <w:rFonts w:hint="eastAsia"/>
        </w:rPr>
        <w:t>拥有博士讲师或副高以上职称；</w:t>
      </w:r>
    </w:p>
    <w:p>
      <w:pPr>
        <w:pStyle w:val="101"/>
      </w:pPr>
      <w:r>
        <w:rPr>
          <w:rFonts w:hint="eastAsia"/>
        </w:rPr>
        <w:t>拥有1年以上生物制药企业工作或挂职锻炼经历。</w:t>
      </w:r>
    </w:p>
    <w:p>
      <w:pPr>
        <w:pStyle w:val="70"/>
        <w:spacing w:before="156" w:after="156"/>
      </w:pPr>
      <w:bookmarkStart w:id="92" w:name="_Toc181977821"/>
      <w:r>
        <w:rPr>
          <w:rFonts w:hint="eastAsia"/>
        </w:rPr>
        <w:t>企业教师</w:t>
      </w:r>
      <w:bookmarkEnd w:id="92"/>
    </w:p>
    <w:p>
      <w:pPr>
        <w:pStyle w:val="68"/>
        <w:ind w:firstLine="420"/>
      </w:pPr>
      <w:r>
        <w:t>应符合以下要求：</w:t>
      </w:r>
    </w:p>
    <w:p>
      <w:pPr>
        <w:pStyle w:val="101"/>
        <w:numPr>
          <w:ilvl w:val="0"/>
          <w:numId w:val="19"/>
        </w:numPr>
      </w:pPr>
      <w:r>
        <w:rPr>
          <w:rFonts w:hint="eastAsia"/>
        </w:rPr>
        <w:t>拥有与讲授课程相关的实践背景；</w:t>
      </w:r>
    </w:p>
    <w:p>
      <w:pPr>
        <w:pStyle w:val="101"/>
      </w:pPr>
      <w:r>
        <w:rPr>
          <w:rFonts w:hint="eastAsia"/>
        </w:rPr>
        <w:t>拥有本科以上学历及工程师以上职称；</w:t>
      </w:r>
    </w:p>
    <w:p>
      <w:pPr>
        <w:pStyle w:val="101"/>
      </w:pPr>
      <w:r>
        <w:rPr>
          <w:rFonts w:hint="eastAsia"/>
        </w:rPr>
        <w:t>拥有5年以上生物制药企业工作经历或拥有博士学位。</w:t>
      </w:r>
    </w:p>
    <w:p>
      <w:pPr>
        <w:pStyle w:val="66"/>
        <w:spacing w:before="156" w:after="156"/>
      </w:pPr>
      <w:bookmarkStart w:id="93" w:name="_Toc174113368"/>
      <w:bookmarkStart w:id="94" w:name="_Toc153963935"/>
      <w:bookmarkStart w:id="95" w:name="_Toc181977822"/>
      <w:bookmarkStart w:id="96" w:name="_Toc169617153"/>
      <w:r>
        <w:t>硬件要求</w:t>
      </w:r>
      <w:bookmarkEnd w:id="93"/>
      <w:bookmarkEnd w:id="94"/>
      <w:bookmarkEnd w:id="95"/>
      <w:bookmarkEnd w:id="96"/>
    </w:p>
    <w:p>
      <w:pPr>
        <w:pStyle w:val="69"/>
      </w:pPr>
      <w:r>
        <w:rPr>
          <w:rFonts w:hint="eastAsia"/>
        </w:rPr>
        <w:t>配备独立教室、多媒体教学设备、桌椅等基本的教学设施。</w:t>
      </w:r>
    </w:p>
    <w:p>
      <w:pPr>
        <w:pStyle w:val="69"/>
      </w:pPr>
      <w:r>
        <w:rPr>
          <w:rFonts w:hint="eastAsia"/>
        </w:rPr>
        <w:t>具有开展生物制药实验技能训练的标准化实验室并配备相应的仪器设备，其中常规仪器设备配置</w:t>
      </w:r>
      <w:r>
        <w:t>1</w:t>
      </w:r>
      <w:r>
        <w:rPr>
          <w:rFonts w:hint="eastAsia"/>
        </w:rPr>
        <w:t>人1台套，大型仪器设备配置4人1台套。</w:t>
      </w:r>
    </w:p>
    <w:p>
      <w:pPr>
        <w:pStyle w:val="69"/>
      </w:pPr>
      <w:r>
        <w:rPr>
          <w:rFonts w:hint="eastAsia"/>
        </w:rPr>
        <w:t>校内生均实习实训基地面积不少于2.5㎡；合作单位能够提供与培养规模相匹配的实训基地，按年招生规模计，生均实习实训基地面积不少于5㎡；年生均实践教学经费不低于1000元。</w:t>
      </w:r>
    </w:p>
    <w:p>
      <w:pPr>
        <w:pStyle w:val="69"/>
      </w:pPr>
      <w:r>
        <w:rPr>
          <w:rFonts w:hint="eastAsia"/>
        </w:rPr>
        <w:t>教学与实践场地应符合国家相关环保、安全及消防要求或行业标准。</w:t>
      </w:r>
    </w:p>
    <w:p>
      <w:pPr>
        <w:pStyle w:val="66"/>
        <w:spacing w:before="156" w:after="156"/>
      </w:pPr>
      <w:bookmarkStart w:id="97" w:name="_Toc174113369"/>
      <w:bookmarkStart w:id="98" w:name="_Toc181977823"/>
      <w:r>
        <w:t>教材要求</w:t>
      </w:r>
      <w:bookmarkEnd w:id="97"/>
      <w:bookmarkEnd w:id="98"/>
    </w:p>
    <w:p>
      <w:pPr>
        <w:pStyle w:val="68"/>
        <w:ind w:firstLine="420"/>
      </w:pPr>
      <w:bookmarkStart w:id="99" w:name="_Toc153963936"/>
      <w:bookmarkStart w:id="100" w:name="_Toc174113370"/>
      <w:bookmarkStart w:id="101" w:name="_Toc169617154"/>
      <w:r>
        <w:t>应符合以下要求：</w:t>
      </w:r>
    </w:p>
    <w:p>
      <w:pPr>
        <w:pStyle w:val="101"/>
        <w:numPr>
          <w:ilvl w:val="0"/>
          <w:numId w:val="20"/>
        </w:numPr>
      </w:pPr>
      <w:r>
        <w:rPr>
          <w:rFonts w:hint="eastAsia"/>
        </w:rPr>
        <w:t>选用具有代表性、符合教学大纲或专业规范的教材；</w:t>
      </w:r>
    </w:p>
    <w:p>
      <w:pPr>
        <w:pStyle w:val="101"/>
      </w:pPr>
      <w:r>
        <w:rPr>
          <w:rFonts w:hint="eastAsia"/>
        </w:rPr>
        <w:t>公共课程、专业基础课程、专业课程教材及实验指导书应为正式出版物；</w:t>
      </w:r>
    </w:p>
    <w:p>
      <w:pPr>
        <w:pStyle w:val="101"/>
      </w:pPr>
      <w:r>
        <w:rPr>
          <w:rFonts w:hint="eastAsia"/>
        </w:rPr>
        <w:t>高校可根据优势和特色，联合企业自编符合教学基本要求的教材或讲义，以及相应的实验指导书讲义。</w:t>
      </w:r>
    </w:p>
    <w:p>
      <w:pPr>
        <w:pStyle w:val="67"/>
        <w:spacing w:before="312" w:after="312"/>
      </w:pPr>
      <w:bookmarkStart w:id="102" w:name="_Toc181977824"/>
      <w:r>
        <w:t>评价考核</w:t>
      </w:r>
      <w:bookmarkEnd w:id="99"/>
      <w:bookmarkEnd w:id="100"/>
      <w:bookmarkEnd w:id="101"/>
      <w:bookmarkEnd w:id="102"/>
    </w:p>
    <w:p>
      <w:pPr>
        <w:pStyle w:val="66"/>
        <w:spacing w:before="156" w:after="156"/>
      </w:pPr>
      <w:bookmarkStart w:id="103" w:name="_Toc169617155"/>
      <w:bookmarkStart w:id="104" w:name="_Toc181977825"/>
      <w:bookmarkStart w:id="105" w:name="_Toc174113371"/>
      <w:bookmarkStart w:id="106" w:name="_Toc153963937"/>
      <w:r>
        <w:rPr>
          <w:rFonts w:hint="eastAsia"/>
        </w:rPr>
        <w:t>总体要求</w:t>
      </w:r>
      <w:bookmarkEnd w:id="103"/>
      <w:bookmarkEnd w:id="104"/>
      <w:bookmarkEnd w:id="105"/>
      <w:bookmarkEnd w:id="106"/>
    </w:p>
    <w:p>
      <w:pPr>
        <w:pStyle w:val="68"/>
        <w:ind w:firstLine="420"/>
      </w:pPr>
      <w:r>
        <w:rPr>
          <w:rFonts w:hint="eastAsia"/>
        </w:rPr>
        <w:t>学生的能力考核由校企双方导师协作完成，采用形成性双向评价方式（教师评价学生学习，学生评价课程和教师教学），共同形成“监控-反馈-评价-改进”的产教融合课程教学质量保障体系。</w:t>
      </w:r>
    </w:p>
    <w:p>
      <w:pPr>
        <w:pStyle w:val="66"/>
        <w:spacing w:before="156" w:after="156"/>
      </w:pPr>
      <w:bookmarkStart w:id="107" w:name="_Toc153963938"/>
      <w:bookmarkStart w:id="108" w:name="_Toc181977826"/>
      <w:bookmarkStart w:id="109" w:name="_Toc169617156"/>
      <w:bookmarkStart w:id="110" w:name="_Toc174113372"/>
      <w:r>
        <w:rPr>
          <w:rFonts w:hint="eastAsia"/>
        </w:rPr>
        <w:t>教师评价</w:t>
      </w:r>
      <w:bookmarkEnd w:id="107"/>
      <w:bookmarkEnd w:id="108"/>
      <w:bookmarkEnd w:id="109"/>
      <w:bookmarkEnd w:id="110"/>
    </w:p>
    <w:p>
      <w:pPr>
        <w:pStyle w:val="68"/>
        <w:ind w:firstLine="420"/>
      </w:pPr>
      <w:r>
        <w:rPr>
          <w:rFonts w:hint="eastAsia"/>
        </w:rPr>
        <w:t>从三个方面（学习记录、课堂表现、实践操作）和四个维度（30%GMP规范+30%态度+30%技能+10%资质）对学生的学习成果进行多元化评价。</w:t>
      </w:r>
    </w:p>
    <w:p>
      <w:pPr>
        <w:pStyle w:val="66"/>
        <w:spacing w:before="156" w:after="156"/>
      </w:pPr>
      <w:bookmarkStart w:id="111" w:name="_Toc153963939"/>
      <w:bookmarkStart w:id="112" w:name="_Toc169617157"/>
      <w:bookmarkStart w:id="113" w:name="_Toc181977827"/>
      <w:bookmarkStart w:id="114" w:name="_Toc174113373"/>
      <w:r>
        <w:rPr>
          <w:rFonts w:hint="eastAsia"/>
        </w:rPr>
        <w:t>学生评价</w:t>
      </w:r>
      <w:bookmarkEnd w:id="111"/>
      <w:bookmarkEnd w:id="112"/>
      <w:bookmarkEnd w:id="113"/>
      <w:bookmarkEnd w:id="114"/>
    </w:p>
    <w:p>
      <w:pPr>
        <w:pStyle w:val="68"/>
        <w:ind w:firstLine="420"/>
      </w:pPr>
      <w:r>
        <w:rPr>
          <w:rFonts w:hint="eastAsia"/>
        </w:rPr>
        <w:t>从知识点、操作性、启发性、解决相应问题的方法、课程目标达成五方面评价课程内容，并从专业能力、教材质量、条理性和表达能力、时间控制、回顾与总结五方面评价教师教学。</w:t>
      </w:r>
    </w:p>
    <w:p>
      <w:pPr>
        <w:pStyle w:val="66"/>
        <w:spacing w:before="156" w:after="156"/>
      </w:pPr>
      <w:bookmarkStart w:id="115" w:name="_Toc174113374"/>
      <w:bookmarkStart w:id="116" w:name="_Toc181977828"/>
      <w:bookmarkStart w:id="117" w:name="_Toc153963940"/>
      <w:bookmarkStart w:id="118" w:name="_Toc169617158"/>
      <w:r>
        <w:rPr>
          <w:rFonts w:hint="eastAsia"/>
        </w:rPr>
        <w:t>能力考核</w:t>
      </w:r>
      <w:bookmarkEnd w:id="115"/>
      <w:bookmarkEnd w:id="116"/>
      <w:bookmarkEnd w:id="117"/>
      <w:bookmarkEnd w:id="118"/>
    </w:p>
    <w:p>
      <w:pPr>
        <w:pStyle w:val="68"/>
        <w:ind w:firstLine="420"/>
      </w:pPr>
      <w:r>
        <w:rPr>
          <w:rFonts w:hint="eastAsia"/>
        </w:rPr>
        <w:t>学生的能力由校企双方进行共同考核，考核结果合格的，颁发注明岗位能力与学习时长的工程实践能力证书（或岗位技术技能微证书），作为胜任该岗位工作的资质与能力证明。</w:t>
      </w:r>
    </w:p>
    <w:p>
      <w:pPr>
        <w:pStyle w:val="78"/>
        <w:ind w:left="420" w:leftChars="200" w:firstLine="0"/>
      </w:pPr>
      <w:r>
        <w:rPr>
          <w:rFonts w:hint="eastAsia"/>
        </w:rPr>
        <w:t>微证书是用以证明学习者在特定的技能或知识领域获得能力的非学位认证。</w:t>
      </w:r>
    </w:p>
    <w:p>
      <w:pPr>
        <w:pStyle w:val="78"/>
        <w:ind w:left="420" w:leftChars="200" w:firstLine="0"/>
      </w:pPr>
      <w:r>
        <w:rPr>
          <w:rFonts w:hint="eastAsia"/>
        </w:rPr>
        <w:t>职业能力考核指标点示例见附录B，职业能力、课程、典型岗位的对应关系见附录C。</w:t>
      </w:r>
    </w:p>
    <w:p>
      <w:pPr>
        <w:pStyle w:val="67"/>
        <w:spacing w:before="312" w:after="312"/>
      </w:pPr>
      <w:bookmarkStart w:id="119" w:name="_Toc153963941"/>
      <w:bookmarkStart w:id="120" w:name="_Toc181977829"/>
      <w:bookmarkStart w:id="121" w:name="_Toc169617159"/>
      <w:bookmarkStart w:id="122" w:name="_Toc174113375"/>
      <w:r>
        <w:rPr>
          <w:rFonts w:hint="eastAsia"/>
        </w:rPr>
        <w:t>持续改进</w:t>
      </w:r>
      <w:bookmarkEnd w:id="119"/>
      <w:bookmarkEnd w:id="120"/>
      <w:bookmarkEnd w:id="121"/>
      <w:bookmarkEnd w:id="122"/>
    </w:p>
    <w:p>
      <w:pPr>
        <w:pStyle w:val="68"/>
        <w:ind w:firstLine="420"/>
      </w:pPr>
      <w:r>
        <w:rPr>
          <w:rFonts w:hint="eastAsia"/>
        </w:rPr>
        <w:t>校企共同成立能力培养要求达成评价小组，利用大数据、学习分析等信息化技术手段对行业产教融合共同体学生的课程目标达成情况、能力目标达成情况进行共性与个性分析，发现培养过程中存在的问题和不足，提出培养过程持续改进的建议，并反馈给相关部门和校企任课教师；对用人单位、毕业生调查问卷进行综合分析，提出并落实改进措施，持续提升产教融合育人质量。</w:t>
      </w:r>
    </w:p>
    <w:p>
      <w:pPr>
        <w:pStyle w:val="68"/>
        <w:ind w:firstLine="420"/>
        <w:sectPr>
          <w:headerReference r:id="rId14" w:type="default"/>
          <w:footerReference r:id="rId16" w:type="default"/>
          <w:headerReference r:id="rId15" w:type="even"/>
          <w:footerReference r:id="rId17" w:type="even"/>
          <w:pgSz w:w="11906" w:h="16838"/>
          <w:pgMar w:top="1417" w:right="1134" w:bottom="1134" w:left="1417" w:header="1418" w:footer="1134" w:gutter="284"/>
          <w:pgNumType w:start="1"/>
          <w:cols w:space="425" w:num="1"/>
          <w:formProt w:val="0"/>
          <w:docGrid w:type="lines" w:linePitch="312" w:charSpace="0"/>
        </w:sectPr>
      </w:pPr>
    </w:p>
    <w:p>
      <w:pPr>
        <w:pStyle w:val="103"/>
        <w:numPr>
          <w:ilvl w:val="0"/>
          <w:numId w:val="9"/>
        </w:numPr>
        <w:ind w:firstLine="0"/>
        <w:rPr>
          <w:vanish w:val="0"/>
        </w:rPr>
      </w:pPr>
      <w:bookmarkStart w:id="123" w:name="BookMark5"/>
    </w:p>
    <w:p>
      <w:pPr>
        <w:pStyle w:val="104"/>
        <w:rPr>
          <w:vanish w:val="0"/>
        </w:rPr>
      </w:pPr>
    </w:p>
    <w:p>
      <w:pPr>
        <w:pStyle w:val="87"/>
        <w:numPr>
          <w:ilvl w:val="0"/>
          <w:numId w:val="6"/>
        </w:numPr>
        <w:spacing w:before="567" w:after="0" w:afterLines="0"/>
        <w:ind w:left="0"/>
      </w:pPr>
      <w:bookmarkStart w:id="124" w:name="_Toc181977830"/>
      <w:bookmarkStart w:id="125" w:name="_Toc174113376"/>
    </w:p>
    <w:p>
      <w:pPr>
        <w:pStyle w:val="87"/>
        <w:spacing w:before="0" w:after="0" w:afterLines="0"/>
      </w:pPr>
      <w:r>
        <w:rPr>
          <w:rFonts w:hint="eastAsia"/>
        </w:rPr>
        <w:t>（资料性）</w:t>
      </w:r>
    </w:p>
    <w:p>
      <w:pPr>
        <w:pStyle w:val="87"/>
        <w:spacing w:before="0" w:after="284" w:afterLines="0"/>
      </w:pPr>
      <w:r>
        <w:rPr>
          <w:rFonts w:hint="eastAsia"/>
        </w:rPr>
        <w:t>生物制药类产教融合课程体系示例</w:t>
      </w:r>
      <w:bookmarkEnd w:id="124"/>
      <w:bookmarkEnd w:id="125"/>
    </w:p>
    <w:p>
      <w:pPr>
        <w:pStyle w:val="68"/>
        <w:ind w:firstLine="420"/>
      </w:pPr>
      <w:r>
        <w:t>课程体系示例见表A.</w:t>
      </w:r>
      <w:r>
        <w:rPr>
          <w:rFonts w:hint="eastAsia"/>
        </w:rPr>
        <w:t>1</w:t>
      </w:r>
      <w:r>
        <w:t>。</w:t>
      </w:r>
    </w:p>
    <w:p>
      <w:pPr>
        <w:pStyle w:val="88"/>
        <w:numPr>
          <w:ilvl w:val="0"/>
          <w:numId w:val="0"/>
        </w:numPr>
        <w:spacing w:before="156" w:after="156"/>
      </w:pPr>
      <w:r>
        <w:rPr>
          <w:rFonts w:hint="eastAsia" w:hAnsi="黑体"/>
        </w:rPr>
        <w:t>表A.1  生物制药类产教融合课程体系表</w:t>
      </w:r>
    </w:p>
    <w:tbl>
      <w:tblPr>
        <w:tblStyle w:val="22"/>
        <w:tblW w:w="9101"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2201"/>
        <w:gridCol w:w="5248"/>
        <w:gridCol w:w="1652"/>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201" w:type="dxa"/>
            <w:tcBorders>
              <w:bottom w:val="single" w:color="auto" w:sz="8" w:space="0"/>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课程名称</w:t>
            </w:r>
          </w:p>
        </w:tc>
        <w:tc>
          <w:tcPr>
            <w:tcW w:w="5248" w:type="dxa"/>
            <w:tcBorders>
              <w:bottom w:val="single" w:color="auto" w:sz="8" w:space="0"/>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主要教学内容及要求</w:t>
            </w:r>
          </w:p>
        </w:tc>
        <w:tc>
          <w:tcPr>
            <w:tcW w:w="1652" w:type="dxa"/>
            <w:tcBorders>
              <w:bottom w:val="single" w:color="auto" w:sz="8" w:space="0"/>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建议学分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tcBorders>
              <w:top w:val="single" w:color="auto" w:sz="8" w:space="0"/>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生物医药产业导论</w:t>
            </w:r>
          </w:p>
        </w:tc>
        <w:tc>
          <w:tcPr>
            <w:tcW w:w="5248" w:type="dxa"/>
            <w:tcBorders>
              <w:top w:val="single" w:color="auto" w:sz="8" w:space="0"/>
            </w:tcBorders>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介绍当代生物医药产业现状、背景、使命担当、发展趋势，由头部企业技术骨干主讲</w:t>
            </w:r>
          </w:p>
        </w:tc>
        <w:tc>
          <w:tcPr>
            <w:tcW w:w="1652" w:type="dxa"/>
            <w:tcBorders>
              <w:top w:val="single" w:color="auto" w:sz="8" w:space="0"/>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1学分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生物药评价技术与实践</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以国家药品监督管理局药品审评中心指导原则为依据，融入新药审评经典案例，着重培养学生评价生物新药能力</w:t>
            </w:r>
          </w:p>
        </w:tc>
        <w:tc>
          <w:tcPr>
            <w:tcW w:w="1652" w:type="dxa"/>
            <w:shd w:val="clear" w:color="auto" w:fill="auto"/>
            <w:vAlign w:val="center"/>
          </w:tcPr>
          <w:p>
            <w:pPr>
              <w:jc w:val="center"/>
              <w:rPr>
                <w:rFonts w:ascii="宋体" w:hAnsi="宋体"/>
                <w:bCs/>
                <w:kern w:val="0"/>
                <w:sz w:val="18"/>
                <w:szCs w:val="18"/>
              </w:rPr>
            </w:pPr>
            <w:r>
              <w:rPr>
                <w:rFonts w:ascii="宋体" w:hAnsi="宋体"/>
                <w:bCs/>
                <w:kern w:val="0"/>
                <w:sz w:val="18"/>
                <w:szCs w:val="18"/>
              </w:rPr>
              <w:t>4</w:t>
            </w:r>
            <w:r>
              <w:rPr>
                <w:rFonts w:hint="eastAsia" w:ascii="宋体" w:hAnsi="宋体"/>
                <w:bCs/>
                <w:kern w:val="0"/>
                <w:sz w:val="18"/>
                <w:szCs w:val="18"/>
              </w:rPr>
              <w:t>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ascii="宋体" w:hAnsi="宋体"/>
                <w:bCs/>
                <w:kern w:val="0"/>
                <w:sz w:val="18"/>
                <w:szCs w:val="18"/>
              </w:rPr>
              <w:t>ICH</w:t>
            </w:r>
            <w:r>
              <w:rPr>
                <w:rFonts w:hint="eastAsia" w:ascii="宋体" w:hAnsi="宋体"/>
                <w:bCs/>
                <w:kern w:val="0"/>
                <w:sz w:val="18"/>
                <w:szCs w:val="18"/>
              </w:rPr>
              <w:t>指导原则与实操</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介绍国际接轨的《药品注册管理办法》，通过参与企业国际新药注册，掌握药品注册专业英语与国际法律法规</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1学分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基因工程制药</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系统介绍基因工程技术在制药领域应用，学生通过参与企业基因工程药物生产过程，强化基因工程制药的实践能力</w:t>
            </w:r>
          </w:p>
        </w:tc>
        <w:tc>
          <w:tcPr>
            <w:tcW w:w="1652" w:type="dxa"/>
            <w:shd w:val="clear" w:color="auto" w:fill="auto"/>
            <w:vAlign w:val="center"/>
          </w:tcPr>
          <w:p>
            <w:pPr>
              <w:jc w:val="center"/>
              <w:rPr>
                <w:rFonts w:ascii="宋体" w:hAnsi="宋体"/>
                <w:bCs/>
                <w:kern w:val="0"/>
                <w:sz w:val="18"/>
                <w:szCs w:val="18"/>
              </w:rPr>
            </w:pPr>
            <w:r>
              <w:rPr>
                <w:rFonts w:ascii="宋体" w:hAnsi="宋体"/>
                <w:bCs/>
                <w:kern w:val="0"/>
                <w:sz w:val="18"/>
                <w:szCs w:val="18"/>
              </w:rPr>
              <w:t>4</w:t>
            </w:r>
            <w:r>
              <w:rPr>
                <w:rFonts w:hint="eastAsia" w:ascii="宋体" w:hAnsi="宋体"/>
                <w:bCs/>
                <w:kern w:val="0"/>
                <w:sz w:val="18"/>
                <w:szCs w:val="18"/>
              </w:rPr>
              <w:t>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细胞工程制药</w:t>
            </w:r>
          </w:p>
        </w:tc>
        <w:tc>
          <w:tcPr>
            <w:tcW w:w="5248" w:type="dxa"/>
            <w:shd w:val="clear" w:color="auto" w:fill="auto"/>
            <w:vAlign w:val="center"/>
          </w:tcPr>
          <w:p>
            <w:pPr>
              <w:ind w:left="59" w:leftChars="28"/>
              <w:rPr>
                <w:rFonts w:ascii="宋体" w:hAnsi="宋体"/>
                <w:bCs/>
                <w:kern w:val="0"/>
                <w:sz w:val="18"/>
                <w:szCs w:val="18"/>
              </w:rPr>
            </w:pPr>
            <w:r>
              <w:rPr>
                <w:rFonts w:ascii="宋体" w:hAnsi="宋体"/>
                <w:bCs/>
                <w:kern w:val="0"/>
                <w:sz w:val="18"/>
                <w:szCs w:val="18"/>
              </w:rPr>
              <w:t>系统介绍</w:t>
            </w:r>
            <w:r>
              <w:rPr>
                <w:rFonts w:hint="eastAsia" w:ascii="宋体" w:hAnsi="宋体"/>
                <w:bCs/>
                <w:kern w:val="0"/>
                <w:sz w:val="18"/>
                <w:szCs w:val="18"/>
              </w:rPr>
              <w:t>细胞</w:t>
            </w:r>
            <w:r>
              <w:rPr>
                <w:rFonts w:ascii="宋体" w:hAnsi="宋体"/>
                <w:bCs/>
                <w:kern w:val="0"/>
                <w:sz w:val="18"/>
                <w:szCs w:val="18"/>
              </w:rPr>
              <w:t>工程技术在制药领域应用，</w:t>
            </w:r>
            <w:r>
              <w:rPr>
                <w:rFonts w:hint="eastAsia" w:ascii="宋体" w:hAnsi="宋体"/>
                <w:bCs/>
                <w:kern w:val="0"/>
                <w:sz w:val="18"/>
                <w:szCs w:val="18"/>
              </w:rPr>
              <w:t>学生通过参与企业细胞工程药物生产过程，强化细胞工程制药的实践能力</w:t>
            </w:r>
          </w:p>
        </w:tc>
        <w:tc>
          <w:tcPr>
            <w:tcW w:w="1652" w:type="dxa"/>
            <w:shd w:val="clear" w:color="auto" w:fill="auto"/>
            <w:vAlign w:val="center"/>
          </w:tcPr>
          <w:p>
            <w:pPr>
              <w:jc w:val="center"/>
              <w:rPr>
                <w:rFonts w:ascii="宋体" w:hAnsi="宋体"/>
                <w:bCs/>
                <w:kern w:val="0"/>
                <w:sz w:val="18"/>
                <w:szCs w:val="18"/>
              </w:rPr>
            </w:pPr>
            <w:r>
              <w:rPr>
                <w:rFonts w:ascii="宋体" w:hAnsi="宋体"/>
                <w:bCs/>
                <w:kern w:val="0"/>
                <w:sz w:val="18"/>
                <w:szCs w:val="18"/>
              </w:rPr>
              <w:t>4</w:t>
            </w:r>
            <w:r>
              <w:rPr>
                <w:rFonts w:hint="eastAsia" w:ascii="宋体" w:hAnsi="宋体"/>
                <w:bCs/>
                <w:kern w:val="0"/>
                <w:sz w:val="18"/>
                <w:szCs w:val="18"/>
              </w:rPr>
              <w:t>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蛋白质工程制药</w:t>
            </w:r>
          </w:p>
        </w:tc>
        <w:tc>
          <w:tcPr>
            <w:tcW w:w="5248" w:type="dxa"/>
            <w:shd w:val="clear" w:color="auto" w:fill="auto"/>
            <w:vAlign w:val="center"/>
          </w:tcPr>
          <w:p>
            <w:pPr>
              <w:ind w:left="59" w:leftChars="28"/>
              <w:rPr>
                <w:rFonts w:ascii="宋体" w:hAnsi="宋体"/>
                <w:bCs/>
                <w:kern w:val="0"/>
                <w:sz w:val="18"/>
                <w:szCs w:val="18"/>
              </w:rPr>
            </w:pPr>
            <w:r>
              <w:rPr>
                <w:rFonts w:ascii="宋体" w:hAnsi="宋体"/>
                <w:bCs/>
                <w:kern w:val="0"/>
                <w:sz w:val="18"/>
                <w:szCs w:val="18"/>
              </w:rPr>
              <w:t>系统介绍</w:t>
            </w:r>
            <w:r>
              <w:rPr>
                <w:rFonts w:hint="eastAsia" w:ascii="宋体" w:hAnsi="宋体"/>
                <w:bCs/>
                <w:kern w:val="0"/>
                <w:sz w:val="18"/>
                <w:szCs w:val="18"/>
              </w:rPr>
              <w:t>蛋白质类药物制备原理与应用</w:t>
            </w:r>
            <w:r>
              <w:rPr>
                <w:rFonts w:ascii="宋体" w:hAnsi="宋体"/>
                <w:bCs/>
                <w:kern w:val="0"/>
                <w:sz w:val="18"/>
                <w:szCs w:val="18"/>
              </w:rPr>
              <w:t>，</w:t>
            </w:r>
            <w:r>
              <w:rPr>
                <w:rFonts w:hint="eastAsia" w:ascii="宋体" w:hAnsi="宋体"/>
                <w:bCs/>
                <w:kern w:val="0"/>
                <w:sz w:val="18"/>
                <w:szCs w:val="18"/>
              </w:rPr>
              <w:t>学生通过参与企业蛋白质类药物生产过程，强化蛋白质工程制药的实践能力</w:t>
            </w:r>
          </w:p>
        </w:tc>
        <w:tc>
          <w:tcPr>
            <w:tcW w:w="1652" w:type="dxa"/>
            <w:shd w:val="clear" w:color="auto" w:fill="auto"/>
            <w:vAlign w:val="center"/>
          </w:tcPr>
          <w:p>
            <w:pPr>
              <w:jc w:val="center"/>
              <w:rPr>
                <w:rFonts w:ascii="宋体" w:hAnsi="宋体"/>
                <w:bCs/>
                <w:kern w:val="0"/>
                <w:sz w:val="18"/>
                <w:szCs w:val="18"/>
              </w:rPr>
            </w:pPr>
            <w:r>
              <w:rPr>
                <w:rFonts w:ascii="宋体" w:hAnsi="宋体"/>
                <w:bCs/>
                <w:kern w:val="0"/>
                <w:sz w:val="18"/>
                <w:szCs w:val="18"/>
              </w:rPr>
              <w:t>4</w:t>
            </w:r>
            <w:r>
              <w:rPr>
                <w:rFonts w:hint="eastAsia" w:ascii="宋体" w:hAnsi="宋体"/>
                <w:bCs/>
                <w:kern w:val="0"/>
                <w:sz w:val="18"/>
                <w:szCs w:val="18"/>
              </w:rPr>
              <w:t>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发酵工程制药</w:t>
            </w:r>
          </w:p>
        </w:tc>
        <w:tc>
          <w:tcPr>
            <w:tcW w:w="5248" w:type="dxa"/>
            <w:shd w:val="clear" w:color="auto" w:fill="auto"/>
            <w:vAlign w:val="center"/>
          </w:tcPr>
          <w:p>
            <w:pPr>
              <w:ind w:left="59" w:leftChars="28"/>
              <w:rPr>
                <w:rFonts w:ascii="宋体" w:hAnsi="宋体"/>
                <w:bCs/>
                <w:kern w:val="0"/>
                <w:sz w:val="18"/>
                <w:szCs w:val="18"/>
              </w:rPr>
            </w:pPr>
            <w:r>
              <w:rPr>
                <w:rFonts w:ascii="宋体" w:hAnsi="宋体"/>
                <w:bCs/>
                <w:kern w:val="0"/>
                <w:sz w:val="18"/>
                <w:szCs w:val="18"/>
              </w:rPr>
              <w:t>系统介绍</w:t>
            </w:r>
            <w:r>
              <w:rPr>
                <w:rFonts w:hint="eastAsia" w:ascii="宋体" w:hAnsi="宋体"/>
                <w:bCs/>
                <w:kern w:val="0"/>
                <w:sz w:val="18"/>
                <w:szCs w:val="18"/>
              </w:rPr>
              <w:t>发酵</w:t>
            </w:r>
            <w:r>
              <w:rPr>
                <w:rFonts w:ascii="宋体" w:hAnsi="宋体"/>
                <w:bCs/>
                <w:kern w:val="0"/>
                <w:sz w:val="18"/>
                <w:szCs w:val="18"/>
              </w:rPr>
              <w:t>工程技术在制药领域应用，</w:t>
            </w:r>
            <w:r>
              <w:rPr>
                <w:rFonts w:hint="eastAsia" w:ascii="宋体" w:hAnsi="宋体"/>
                <w:bCs/>
                <w:kern w:val="0"/>
                <w:sz w:val="18"/>
                <w:szCs w:val="18"/>
              </w:rPr>
              <w:t>学生通过参与企业发酵工程药物生产过程，强化发酵工程制药的实践能力</w:t>
            </w:r>
          </w:p>
        </w:tc>
        <w:tc>
          <w:tcPr>
            <w:tcW w:w="1652" w:type="dxa"/>
            <w:shd w:val="clear" w:color="auto" w:fill="auto"/>
            <w:vAlign w:val="center"/>
          </w:tcPr>
          <w:p>
            <w:pPr>
              <w:jc w:val="center"/>
              <w:rPr>
                <w:rFonts w:ascii="宋体" w:hAnsi="宋体"/>
                <w:bCs/>
                <w:kern w:val="0"/>
                <w:sz w:val="18"/>
                <w:szCs w:val="18"/>
              </w:rPr>
            </w:pPr>
            <w:r>
              <w:rPr>
                <w:rFonts w:ascii="宋体" w:hAnsi="宋体"/>
                <w:bCs/>
                <w:kern w:val="0"/>
                <w:sz w:val="18"/>
                <w:szCs w:val="18"/>
              </w:rPr>
              <w:t>4</w:t>
            </w:r>
            <w:r>
              <w:rPr>
                <w:rFonts w:hint="eastAsia" w:ascii="宋体" w:hAnsi="宋体"/>
                <w:bCs/>
                <w:kern w:val="0"/>
                <w:sz w:val="18"/>
                <w:szCs w:val="18"/>
              </w:rPr>
              <w:t>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制药工业微生物检验与控制</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基于制药工业</w:t>
            </w:r>
            <w:r>
              <w:rPr>
                <w:rFonts w:ascii="宋体" w:hAnsi="宋体"/>
                <w:bCs/>
                <w:kern w:val="0"/>
                <w:sz w:val="18"/>
                <w:szCs w:val="18"/>
              </w:rPr>
              <w:t>GMP</w:t>
            </w:r>
            <w:r>
              <w:rPr>
                <w:rFonts w:hint="eastAsia" w:ascii="宋体" w:hAnsi="宋体"/>
                <w:bCs/>
                <w:kern w:val="0"/>
                <w:sz w:val="18"/>
                <w:szCs w:val="18"/>
              </w:rPr>
              <w:t>的微生物控制要求，以不同生产场景下的微生物检验为教学背景，强化学生解决真问题的能力</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4学分（理论1</w:t>
            </w:r>
            <w:r>
              <w:rPr>
                <w:rFonts w:ascii="宋体" w:hAnsi="宋体"/>
                <w:bCs/>
                <w:kern w:val="0"/>
                <w:sz w:val="18"/>
                <w:szCs w:val="18"/>
              </w:rPr>
              <w:t>学分，</w:t>
            </w:r>
            <w:r>
              <w:rPr>
                <w:rFonts w:hint="eastAsia" w:ascii="宋体" w:hAnsi="宋体"/>
                <w:bCs/>
                <w:kern w:val="0"/>
                <w:sz w:val="18"/>
                <w:szCs w:val="18"/>
              </w:rPr>
              <w:t>实践</w:t>
            </w:r>
            <w:r>
              <w:rPr>
                <w:rFonts w:ascii="宋体" w:hAnsi="宋体"/>
                <w:bCs/>
                <w:kern w:val="0"/>
                <w:sz w:val="18"/>
                <w:szCs w:val="18"/>
              </w:rPr>
              <w:t>3学分</w:t>
            </w:r>
            <w:r>
              <w:rPr>
                <w:rFonts w:hint="eastAsia" w:ascii="宋体" w:hAnsi="宋体"/>
                <w:bCs/>
                <w:kern w:val="0"/>
                <w:sz w:val="18"/>
                <w:szCs w:val="18"/>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工程理论与工程项目管理</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通过在企业环保及工程管理相关部门学习，了解工程设计、风险评估、G</w:t>
            </w:r>
            <w:r>
              <w:rPr>
                <w:rFonts w:ascii="宋体" w:hAnsi="宋体"/>
                <w:bCs/>
                <w:kern w:val="0"/>
                <w:sz w:val="18"/>
                <w:szCs w:val="18"/>
              </w:rPr>
              <w:t>MP</w:t>
            </w:r>
            <w:r>
              <w:rPr>
                <w:rFonts w:hint="eastAsia" w:ascii="宋体" w:hAnsi="宋体"/>
                <w:bCs/>
                <w:kern w:val="0"/>
                <w:sz w:val="18"/>
                <w:szCs w:val="18"/>
              </w:rPr>
              <w:t>改建等方面知识，提高学生工程项目管理能力、培养工程伦理意识</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2学分（理论1</w:t>
            </w:r>
            <w:r>
              <w:rPr>
                <w:rFonts w:ascii="宋体" w:hAnsi="宋体"/>
                <w:bCs/>
                <w:kern w:val="0"/>
                <w:sz w:val="18"/>
                <w:szCs w:val="18"/>
              </w:rPr>
              <w:t>学分，</w:t>
            </w:r>
            <w:r>
              <w:rPr>
                <w:rFonts w:hint="eastAsia" w:ascii="宋体" w:hAnsi="宋体"/>
                <w:bCs/>
                <w:kern w:val="0"/>
                <w:sz w:val="18"/>
                <w:szCs w:val="18"/>
              </w:rPr>
              <w:t>实践</w:t>
            </w:r>
            <w:r>
              <w:rPr>
                <w:rFonts w:ascii="宋体" w:hAnsi="宋体"/>
                <w:bCs/>
                <w:kern w:val="0"/>
                <w:sz w:val="18"/>
                <w:szCs w:val="18"/>
              </w:rPr>
              <w:t>1学分</w:t>
            </w:r>
            <w:r>
              <w:rPr>
                <w:rFonts w:hint="eastAsia" w:ascii="宋体" w:hAnsi="宋体"/>
                <w:bCs/>
                <w:kern w:val="0"/>
                <w:sz w:val="18"/>
                <w:szCs w:val="18"/>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药事管理与案例辨析</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通过在企业法务及药品注册等相关部门的学习，能够将药事管理法律法规融入问题解决，深入了解药品注册流程与实操要点</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3学分（理论1</w:t>
            </w:r>
            <w:r>
              <w:rPr>
                <w:rFonts w:ascii="宋体" w:hAnsi="宋体"/>
                <w:bCs/>
                <w:kern w:val="0"/>
                <w:sz w:val="18"/>
                <w:szCs w:val="18"/>
              </w:rPr>
              <w:t>学分，</w:t>
            </w:r>
            <w:r>
              <w:rPr>
                <w:rFonts w:hint="eastAsia" w:ascii="宋体" w:hAnsi="宋体"/>
                <w:bCs/>
                <w:kern w:val="0"/>
                <w:sz w:val="18"/>
                <w:szCs w:val="18"/>
              </w:rPr>
              <w:t>实践</w:t>
            </w:r>
            <w:r>
              <w:rPr>
                <w:rFonts w:ascii="宋体" w:hAnsi="宋体"/>
                <w:bCs/>
                <w:kern w:val="0"/>
                <w:sz w:val="18"/>
                <w:szCs w:val="18"/>
              </w:rPr>
              <w:t>2学分</w:t>
            </w:r>
            <w:r>
              <w:rPr>
                <w:rFonts w:hint="eastAsia" w:ascii="宋体" w:hAnsi="宋体"/>
                <w:bCs/>
                <w:kern w:val="0"/>
                <w:sz w:val="18"/>
                <w:szCs w:val="18"/>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分子生物学与基因工程</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突出基因重组、基因测序、P</w:t>
            </w:r>
            <w:r>
              <w:rPr>
                <w:rFonts w:ascii="宋体" w:hAnsi="宋体"/>
                <w:bCs/>
                <w:kern w:val="0"/>
                <w:sz w:val="18"/>
                <w:szCs w:val="18"/>
              </w:rPr>
              <w:t>CR</w:t>
            </w:r>
            <w:r>
              <w:rPr>
                <w:rFonts w:hint="eastAsia" w:ascii="宋体" w:hAnsi="宋体"/>
                <w:bCs/>
                <w:kern w:val="0"/>
                <w:sz w:val="18"/>
                <w:szCs w:val="18"/>
              </w:rPr>
              <w:t>、蛋白质修饰等经典且适用的现代技术</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生物分离工程</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以企业产品为案例，突出蛋白质、抗体、多糖等生物大分子药物的分离纯化技术</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2学分，实践类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生物药分析新技术</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突出液相色谱-质谱联用技术在大分子药物分析方面的新技术，由企业研发人员主讲，强化分析方法建立与验证及相关的技术指导原则</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201"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大分子药物制剂与评价</w:t>
            </w:r>
          </w:p>
        </w:tc>
        <w:tc>
          <w:tcPr>
            <w:tcW w:w="5248" w:type="dxa"/>
            <w:shd w:val="clear" w:color="auto" w:fill="auto"/>
            <w:vAlign w:val="center"/>
          </w:tcPr>
          <w:p>
            <w:pPr>
              <w:ind w:left="59" w:leftChars="28"/>
              <w:rPr>
                <w:rFonts w:ascii="宋体" w:hAnsi="宋体"/>
                <w:bCs/>
                <w:kern w:val="0"/>
                <w:sz w:val="18"/>
                <w:szCs w:val="18"/>
              </w:rPr>
            </w:pPr>
            <w:r>
              <w:rPr>
                <w:rFonts w:hint="eastAsia" w:ascii="宋体" w:hAnsi="宋体"/>
                <w:bCs/>
                <w:kern w:val="0"/>
                <w:sz w:val="18"/>
                <w:szCs w:val="18"/>
              </w:rPr>
              <w:t>以国家药品监督管理局的制剂指导原则（生物药）为主要教学载体，结合在企业制剂部门的学习实践，使学生掌握蛋白、抗体、A</w:t>
            </w:r>
            <w:r>
              <w:rPr>
                <w:rFonts w:ascii="宋体" w:hAnsi="宋体"/>
                <w:bCs/>
                <w:kern w:val="0"/>
                <w:sz w:val="18"/>
                <w:szCs w:val="18"/>
              </w:rPr>
              <w:t>DC</w:t>
            </w:r>
            <w:r>
              <w:rPr>
                <w:rFonts w:hint="eastAsia" w:ascii="宋体" w:hAnsi="宋体"/>
                <w:bCs/>
                <w:kern w:val="0"/>
                <w:sz w:val="18"/>
                <w:szCs w:val="18"/>
              </w:rPr>
              <w:t>等大分子制剂评价的评价方法与先进技术，满足企业对生物药制剂技术人员的需求</w:t>
            </w:r>
          </w:p>
        </w:tc>
        <w:tc>
          <w:tcPr>
            <w:tcW w:w="1652" w:type="dxa"/>
            <w:shd w:val="clear" w:color="auto" w:fill="auto"/>
            <w:vAlign w:val="center"/>
          </w:tcPr>
          <w:p>
            <w:pPr>
              <w:jc w:val="center"/>
              <w:rPr>
                <w:rFonts w:ascii="宋体" w:hAnsi="宋体"/>
                <w:bCs/>
                <w:kern w:val="0"/>
                <w:sz w:val="18"/>
                <w:szCs w:val="18"/>
              </w:rPr>
            </w:pPr>
            <w:r>
              <w:rPr>
                <w:rFonts w:hint="eastAsia" w:ascii="宋体" w:hAnsi="宋体"/>
                <w:bCs/>
                <w:kern w:val="0"/>
                <w:sz w:val="18"/>
                <w:szCs w:val="18"/>
              </w:rPr>
              <w:t>4学分，实践类</w:t>
            </w:r>
          </w:p>
        </w:tc>
      </w:tr>
    </w:tbl>
    <w:p>
      <w:pPr>
        <w:pStyle w:val="68"/>
        <w:spacing w:before="156" w:beforeLines="50" w:after="156" w:afterLines="50"/>
        <w:ind w:firstLine="0" w:firstLineChars="0"/>
        <w:jc w:val="center"/>
        <w:rPr>
          <w:rFonts w:ascii="黑体" w:hAnsi="黑体" w:eastAsia="黑体"/>
        </w:rPr>
      </w:pPr>
    </w:p>
    <w:p>
      <w:pPr>
        <w:pStyle w:val="68"/>
        <w:spacing w:before="156" w:beforeLines="50" w:after="156" w:afterLines="50"/>
        <w:ind w:firstLine="0" w:firstLineChars="0"/>
        <w:jc w:val="center"/>
        <w:rPr>
          <w:rFonts w:ascii="黑体" w:hAnsi="黑体" w:eastAsia="黑体"/>
        </w:rPr>
      </w:pPr>
      <w:r>
        <w:rPr>
          <w:rFonts w:hint="eastAsia" w:ascii="黑体" w:hAnsi="黑体" w:eastAsia="黑体"/>
        </w:rPr>
        <w:t>表A.1  生物制药类产教融合课程体系表</w:t>
      </w:r>
      <w:r>
        <w:rPr>
          <w:rFonts w:hint="eastAsia" w:hAnsi="宋体"/>
        </w:rPr>
        <w:t>（续）</w:t>
      </w:r>
    </w:p>
    <w:tbl>
      <w:tblPr>
        <w:tblStyle w:val="22"/>
        <w:tblW w:w="910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201"/>
        <w:gridCol w:w="5249"/>
        <w:gridCol w:w="16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220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课程名称</w:t>
            </w:r>
          </w:p>
        </w:tc>
        <w:tc>
          <w:tcPr>
            <w:tcW w:w="5249"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主要教学内容及要求</w:t>
            </w:r>
          </w:p>
        </w:tc>
        <w:tc>
          <w:tcPr>
            <w:tcW w:w="165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建议学分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blHeader/>
          <w:jc w:val="center"/>
        </w:trPr>
        <w:tc>
          <w:tcPr>
            <w:tcW w:w="220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抗体工程</w:t>
            </w:r>
          </w:p>
        </w:tc>
        <w:tc>
          <w:tcPr>
            <w:tcW w:w="5249" w:type="dxa"/>
            <w:tcBorders>
              <w:tl2br w:val="nil"/>
              <w:tr2bl w:val="nil"/>
            </w:tcBorders>
            <w:shd w:val="clear" w:color="auto" w:fill="auto"/>
            <w:vAlign w:val="center"/>
          </w:tcPr>
          <w:p>
            <w:pPr>
              <w:rPr>
                <w:rFonts w:ascii="宋体" w:hAnsi="宋体"/>
                <w:bCs/>
                <w:kern w:val="0"/>
                <w:sz w:val="18"/>
                <w:szCs w:val="18"/>
              </w:rPr>
            </w:pPr>
            <w:r>
              <w:rPr>
                <w:rFonts w:hint="eastAsia" w:ascii="宋体" w:hAnsi="宋体"/>
                <w:bCs/>
                <w:kern w:val="0"/>
                <w:sz w:val="18"/>
                <w:szCs w:val="18"/>
              </w:rPr>
              <w:t>突出单抗、双抗、三抗等新型抗体药物的制备原理与技术，通过企业案例学习，便于学生掌握前沿的抗体制备技术</w:t>
            </w:r>
          </w:p>
        </w:tc>
        <w:tc>
          <w:tcPr>
            <w:tcW w:w="165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20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微生物发酵技术</w:t>
            </w:r>
          </w:p>
        </w:tc>
        <w:tc>
          <w:tcPr>
            <w:tcW w:w="5249" w:type="dxa"/>
            <w:tcBorders>
              <w:tl2br w:val="nil"/>
              <w:tr2bl w:val="nil"/>
            </w:tcBorders>
            <w:shd w:val="clear" w:color="auto" w:fill="auto"/>
            <w:vAlign w:val="center"/>
          </w:tcPr>
          <w:p>
            <w:pPr>
              <w:rPr>
                <w:rFonts w:ascii="宋体" w:hAnsi="宋体"/>
                <w:bCs/>
                <w:kern w:val="0"/>
                <w:sz w:val="18"/>
                <w:szCs w:val="18"/>
              </w:rPr>
            </w:pPr>
            <w:r>
              <w:rPr>
                <w:rFonts w:hint="eastAsia" w:ascii="宋体" w:hAnsi="宋体"/>
                <w:bCs/>
                <w:kern w:val="0"/>
                <w:sz w:val="18"/>
                <w:szCs w:val="18"/>
              </w:rPr>
              <w:t>突出微生物发酵的产品应用，以产品类型为章节，以具体产品为案例，反向倒推工程技术原理，强化知识的应用型</w:t>
            </w:r>
          </w:p>
        </w:tc>
        <w:tc>
          <w:tcPr>
            <w:tcW w:w="165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2学分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20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生物医药企业EH</w:t>
            </w:r>
            <w:r>
              <w:rPr>
                <w:rFonts w:ascii="宋体" w:hAnsi="宋体"/>
                <w:bCs/>
                <w:kern w:val="0"/>
                <w:sz w:val="18"/>
                <w:szCs w:val="18"/>
              </w:rPr>
              <w:t>S</w:t>
            </w:r>
          </w:p>
        </w:tc>
        <w:tc>
          <w:tcPr>
            <w:tcW w:w="5249" w:type="dxa"/>
            <w:tcBorders>
              <w:tl2br w:val="nil"/>
              <w:tr2bl w:val="nil"/>
            </w:tcBorders>
            <w:shd w:val="clear" w:color="auto" w:fill="auto"/>
            <w:vAlign w:val="center"/>
          </w:tcPr>
          <w:p>
            <w:pPr>
              <w:rPr>
                <w:rFonts w:ascii="宋体" w:hAnsi="宋体"/>
                <w:bCs/>
                <w:kern w:val="0"/>
                <w:sz w:val="18"/>
                <w:szCs w:val="18"/>
              </w:rPr>
            </w:pPr>
            <w:r>
              <w:rPr>
                <w:rFonts w:hint="eastAsia" w:ascii="宋体" w:hAnsi="宋体"/>
                <w:bCs/>
                <w:kern w:val="0"/>
                <w:sz w:val="18"/>
                <w:szCs w:val="18"/>
              </w:rPr>
              <w:t>重点介绍EHS工程师工作内容，采用浸润式学习方式，让学生参与所在企业的E</w:t>
            </w:r>
            <w:r>
              <w:rPr>
                <w:rFonts w:ascii="宋体" w:hAnsi="宋体"/>
                <w:bCs/>
                <w:kern w:val="0"/>
                <w:sz w:val="18"/>
                <w:szCs w:val="18"/>
              </w:rPr>
              <w:t>HS</w:t>
            </w:r>
            <w:r>
              <w:rPr>
                <w:rFonts w:hint="eastAsia" w:ascii="宋体" w:hAnsi="宋体"/>
                <w:bCs/>
                <w:kern w:val="0"/>
                <w:sz w:val="18"/>
                <w:szCs w:val="18"/>
              </w:rPr>
              <w:t>管理</w:t>
            </w:r>
          </w:p>
        </w:tc>
        <w:tc>
          <w:tcPr>
            <w:tcW w:w="165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1学分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20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合规管理</w:t>
            </w:r>
          </w:p>
        </w:tc>
        <w:tc>
          <w:tcPr>
            <w:tcW w:w="5249" w:type="dxa"/>
            <w:tcBorders>
              <w:tl2br w:val="nil"/>
              <w:tr2bl w:val="nil"/>
            </w:tcBorders>
            <w:shd w:val="clear" w:color="auto" w:fill="auto"/>
            <w:vAlign w:val="center"/>
          </w:tcPr>
          <w:p>
            <w:pPr>
              <w:rPr>
                <w:rFonts w:ascii="宋体" w:hAnsi="宋体"/>
                <w:bCs/>
                <w:kern w:val="0"/>
                <w:sz w:val="18"/>
                <w:szCs w:val="18"/>
              </w:rPr>
            </w:pPr>
            <w:r>
              <w:rPr>
                <w:rFonts w:hint="eastAsia" w:ascii="宋体" w:hAnsi="宋体"/>
                <w:bCs/>
                <w:kern w:val="0"/>
                <w:sz w:val="18"/>
                <w:szCs w:val="18"/>
              </w:rPr>
              <w:t>以CPIA正式发布的《医药行业合规管理规范》为主要教学内容，突出CSO/CSP的合规管控重点，主要以案例教学和实践参与的方式培养学生的合规意识与合规管理能力</w:t>
            </w:r>
          </w:p>
        </w:tc>
        <w:tc>
          <w:tcPr>
            <w:tcW w:w="1651" w:type="dxa"/>
            <w:tcBorders>
              <w:tl2br w:val="nil"/>
              <w:tr2bl w:val="nil"/>
            </w:tcBorders>
            <w:shd w:val="clear" w:color="auto" w:fill="auto"/>
            <w:vAlign w:val="center"/>
          </w:tcPr>
          <w:p>
            <w:pPr>
              <w:jc w:val="center"/>
              <w:rPr>
                <w:rFonts w:ascii="宋体" w:hAnsi="宋体"/>
                <w:bCs/>
                <w:kern w:val="0"/>
                <w:sz w:val="18"/>
                <w:szCs w:val="18"/>
              </w:rPr>
            </w:pPr>
            <w:r>
              <w:rPr>
                <w:rFonts w:hint="eastAsia" w:ascii="宋体" w:hAnsi="宋体"/>
                <w:bCs/>
                <w:kern w:val="0"/>
                <w:sz w:val="18"/>
                <w:szCs w:val="18"/>
              </w:rPr>
              <w:t>4学分（理论1学分，实践</w:t>
            </w:r>
            <w:r>
              <w:rPr>
                <w:rFonts w:ascii="宋体" w:hAnsi="宋体"/>
                <w:bCs/>
                <w:kern w:val="0"/>
                <w:sz w:val="18"/>
                <w:szCs w:val="18"/>
              </w:rPr>
              <w:t>3</w:t>
            </w:r>
            <w:r>
              <w:rPr>
                <w:rFonts w:hint="eastAsia" w:ascii="宋体" w:hAnsi="宋体"/>
                <w:bCs/>
                <w:kern w:val="0"/>
                <w:sz w:val="18"/>
                <w:szCs w:val="18"/>
              </w:rPr>
              <w:t>学分）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9101" w:type="dxa"/>
            <w:gridSpan w:val="3"/>
            <w:tcBorders>
              <w:tl2br w:val="nil"/>
              <w:tr2bl w:val="nil"/>
            </w:tcBorders>
            <w:shd w:val="clear" w:color="auto" w:fill="auto"/>
            <w:vAlign w:val="center"/>
          </w:tcPr>
          <w:p>
            <w:pPr>
              <w:pStyle w:val="102"/>
              <w:numPr>
                <w:ilvl w:val="0"/>
                <w:numId w:val="5"/>
              </w:numPr>
              <w:ind w:left="737" w:hanging="374"/>
            </w:pPr>
            <w:r>
              <w:rPr>
                <w:rFonts w:hint="eastAsia"/>
              </w:rPr>
              <w:t>1学时的授课时长不应低于5</w:t>
            </w:r>
            <w:r>
              <w:t>0分钟，累计</w:t>
            </w:r>
            <w:r>
              <w:rPr>
                <w:rFonts w:hint="eastAsia"/>
              </w:rPr>
              <w:t>1</w:t>
            </w:r>
            <w:r>
              <w:t>6学时为</w:t>
            </w:r>
            <w:r>
              <w:rPr>
                <w:rFonts w:hint="eastAsia"/>
              </w:rPr>
              <w:t>1学分。</w:t>
            </w:r>
          </w:p>
        </w:tc>
      </w:tr>
    </w:tbl>
    <w:p>
      <w:pPr>
        <w:pStyle w:val="68"/>
        <w:ind w:firstLine="420"/>
      </w:pPr>
    </w:p>
    <w:p>
      <w:pPr>
        <w:pStyle w:val="68"/>
        <w:ind w:firstLine="420"/>
      </w:pPr>
    </w:p>
    <w:p>
      <w:pPr>
        <w:pStyle w:val="68"/>
        <w:ind w:firstLine="420"/>
        <w:sectPr>
          <w:headerReference r:id="rId18" w:type="default"/>
          <w:footerReference r:id="rId20" w:type="default"/>
          <w:headerReference r:id="rId19" w:type="even"/>
          <w:footerReference r:id="rId21" w:type="even"/>
          <w:pgSz w:w="11906" w:h="16838"/>
          <w:pgMar w:top="1417" w:right="1134" w:bottom="1134" w:left="1417" w:header="1418" w:footer="1134" w:gutter="284"/>
          <w:cols w:space="425" w:num="1"/>
          <w:formProt w:val="0"/>
          <w:docGrid w:type="lines" w:linePitch="312" w:charSpace="0"/>
        </w:sectPr>
      </w:pPr>
    </w:p>
    <w:p>
      <w:pPr>
        <w:pStyle w:val="103"/>
        <w:numPr>
          <w:ilvl w:val="0"/>
          <w:numId w:val="9"/>
        </w:numPr>
        <w:ind w:firstLine="0"/>
        <w:rPr>
          <w:vanish w:val="0"/>
        </w:rPr>
      </w:pPr>
    </w:p>
    <w:p>
      <w:pPr>
        <w:pStyle w:val="104"/>
        <w:rPr>
          <w:vanish w:val="0"/>
        </w:rPr>
      </w:pPr>
    </w:p>
    <w:p>
      <w:pPr>
        <w:pStyle w:val="87"/>
        <w:numPr>
          <w:ilvl w:val="0"/>
          <w:numId w:val="6"/>
        </w:numPr>
        <w:spacing w:before="567" w:after="0" w:afterLines="0"/>
        <w:ind w:left="0"/>
      </w:pPr>
    </w:p>
    <w:p>
      <w:pPr>
        <w:pStyle w:val="87"/>
        <w:spacing w:before="0" w:after="0" w:afterLines="0"/>
      </w:pPr>
      <w:bookmarkStart w:id="126" w:name="_Toc181977831"/>
      <w:bookmarkStart w:id="127" w:name="_Toc174113377"/>
      <w:r>
        <w:rPr>
          <w:rFonts w:hint="eastAsia"/>
        </w:rPr>
        <w:t>（资料性）</w:t>
      </w:r>
    </w:p>
    <w:p>
      <w:pPr>
        <w:pStyle w:val="87"/>
        <w:spacing w:before="0" w:after="284" w:afterLines="0"/>
      </w:pPr>
      <w:r>
        <w:rPr>
          <w:rFonts w:hint="eastAsia"/>
        </w:rPr>
        <w:t>生物制药类职业能力考核指标点示例</w:t>
      </w:r>
      <w:bookmarkEnd w:id="126"/>
      <w:bookmarkEnd w:id="127"/>
    </w:p>
    <w:p>
      <w:pPr>
        <w:pStyle w:val="68"/>
        <w:ind w:firstLine="420"/>
      </w:pPr>
      <w:r>
        <w:t>生物制药类职业能力考核指标示例见表B</w:t>
      </w:r>
      <w:r>
        <w:rPr>
          <w:rFonts w:hint="eastAsia"/>
        </w:rPr>
        <w:t>.</w:t>
      </w:r>
      <w:r>
        <w:t>1。</w:t>
      </w:r>
    </w:p>
    <w:p>
      <w:pPr>
        <w:pStyle w:val="88"/>
        <w:numPr>
          <w:ilvl w:val="0"/>
          <w:numId w:val="0"/>
        </w:numPr>
        <w:spacing w:before="156" w:after="156"/>
      </w:pPr>
      <w:r>
        <w:rPr>
          <w:rFonts w:hint="eastAsia" w:hAnsi="黑体"/>
        </w:rPr>
        <w:t xml:space="preserve">表B.1  </w:t>
      </w:r>
      <w:r>
        <w:rPr>
          <w:rFonts w:hint="eastAsia"/>
        </w:rPr>
        <w:t>生物制药类职业能力考核指标点</w:t>
      </w:r>
    </w:p>
    <w:tbl>
      <w:tblPr>
        <w:tblStyle w:val="2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13" w:type="dxa"/>
          <w:bottom w:w="0" w:type="dxa"/>
          <w:right w:w="113" w:type="dxa"/>
        </w:tblCellMar>
      </w:tblPr>
      <w:tblGrid>
        <w:gridCol w:w="3379"/>
        <w:gridCol w:w="59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tblHeader/>
          <w:jc w:val="center"/>
        </w:trPr>
        <w:tc>
          <w:tcPr>
            <w:tcW w:w="3392" w:type="dxa"/>
            <w:tcBorders>
              <w:top w:val="single" w:color="auto" w:sz="12" w:space="0"/>
              <w:left w:val="single" w:color="auto" w:sz="12" w:space="0"/>
              <w:bottom w:val="single" w:color="auto" w:sz="8" w:space="0"/>
            </w:tcBorders>
            <w:shd w:val="clear" w:color="auto" w:fill="auto"/>
          </w:tcPr>
          <w:p>
            <w:pPr>
              <w:jc w:val="center"/>
              <w:rPr>
                <w:rFonts w:ascii="宋体" w:hAnsi="宋体"/>
                <w:sz w:val="18"/>
                <w:szCs w:val="18"/>
              </w:rPr>
            </w:pPr>
            <w:r>
              <w:rPr>
                <w:rFonts w:ascii="宋体" w:hAnsi="宋体"/>
                <w:sz w:val="18"/>
                <w:szCs w:val="18"/>
              </w:rPr>
              <w:t>一级指标</w:t>
            </w:r>
          </w:p>
        </w:tc>
        <w:tc>
          <w:tcPr>
            <w:tcW w:w="5942" w:type="dxa"/>
            <w:tcBorders>
              <w:top w:val="single" w:color="auto" w:sz="12" w:space="0"/>
              <w:bottom w:val="single" w:color="auto" w:sz="8" w:space="0"/>
              <w:right w:val="single" w:color="auto" w:sz="12" w:space="0"/>
            </w:tcBorders>
            <w:shd w:val="clear" w:color="auto" w:fill="auto"/>
          </w:tcPr>
          <w:p>
            <w:pPr>
              <w:jc w:val="center"/>
              <w:rPr>
                <w:rFonts w:ascii="宋体" w:hAnsi="宋体"/>
                <w:sz w:val="18"/>
                <w:szCs w:val="18"/>
              </w:rPr>
            </w:pPr>
            <w:r>
              <w:rPr>
                <w:rFonts w:ascii="宋体" w:hAnsi="宋体"/>
                <w:sz w:val="18"/>
                <w:szCs w:val="18"/>
              </w:rPr>
              <w:t>二级指标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jc w:val="center"/>
        </w:trPr>
        <w:tc>
          <w:tcPr>
            <w:tcW w:w="3392" w:type="dxa"/>
            <w:tcBorders>
              <w:top w:val="single" w:color="auto" w:sz="8" w:space="0"/>
              <w:left w:val="single" w:color="auto" w:sz="12" w:space="0"/>
            </w:tcBorders>
            <w:shd w:val="clear" w:color="auto" w:fill="auto"/>
            <w:vAlign w:val="center"/>
          </w:tcPr>
          <w:p>
            <w:pPr>
              <w:rPr>
                <w:rFonts w:ascii="宋体" w:hAnsi="宋体"/>
                <w:bCs/>
                <w:sz w:val="18"/>
                <w:szCs w:val="18"/>
              </w:rPr>
            </w:pPr>
            <w:r>
              <w:rPr>
                <w:rFonts w:ascii="宋体" w:hAnsi="宋体"/>
                <w:bCs/>
                <w:sz w:val="18"/>
                <w:szCs w:val="18"/>
              </w:rPr>
              <w:t>1.能够理解生物医药企业运行机制及企业文化：能够识别生物医药行业出现的机遇与挑战，分析、研判生物医药领域热点问题及生物医药企业运行机制，增强从事本领域工作的职业内驱力</w:t>
            </w:r>
          </w:p>
        </w:tc>
        <w:tc>
          <w:tcPr>
            <w:tcW w:w="5942" w:type="dxa"/>
            <w:tcBorders>
              <w:top w:val="single" w:color="auto" w:sz="8" w:space="0"/>
              <w:right w:val="single" w:color="auto" w:sz="12" w:space="0"/>
            </w:tcBorders>
            <w:shd w:val="clear" w:color="auto" w:fill="auto"/>
            <w:vAlign w:val="center"/>
          </w:tcPr>
          <w:p>
            <w:pPr>
              <w:rPr>
                <w:rFonts w:ascii="宋体" w:hAnsi="宋体"/>
                <w:sz w:val="18"/>
                <w:szCs w:val="18"/>
              </w:rPr>
            </w:pPr>
            <w:r>
              <w:rPr>
                <w:rFonts w:ascii="宋体" w:hAnsi="宋体"/>
                <w:sz w:val="18"/>
                <w:szCs w:val="18"/>
              </w:rPr>
              <w:t>1.1能够了解生物医药行业对人类健康的贡献、所面临的机遇与挑战，培养学生对生物医药行业的兴趣</w:t>
            </w:r>
            <w:r>
              <w:rPr>
                <w:rFonts w:hint="eastAsia" w:ascii="宋体" w:hAnsi="宋体"/>
                <w:sz w:val="18"/>
                <w:szCs w:val="18"/>
              </w:rPr>
              <w:t>；</w:t>
            </w:r>
          </w:p>
          <w:p>
            <w:pPr>
              <w:rPr>
                <w:rFonts w:ascii="宋体" w:hAnsi="宋体"/>
                <w:sz w:val="18"/>
                <w:szCs w:val="18"/>
              </w:rPr>
            </w:pPr>
            <w:r>
              <w:rPr>
                <w:rFonts w:ascii="宋体" w:hAnsi="宋体"/>
                <w:sz w:val="18"/>
                <w:szCs w:val="18"/>
              </w:rPr>
              <w:t>1.2能够了解生物医药企业愿景、使命、战略，认同核心价值观</w:t>
            </w:r>
            <w:r>
              <w:rPr>
                <w:rFonts w:hint="eastAsia" w:ascii="宋体" w:hAnsi="宋体"/>
                <w:sz w:val="18"/>
                <w:szCs w:val="18"/>
              </w:rPr>
              <w:t>；</w:t>
            </w:r>
          </w:p>
          <w:p>
            <w:pPr>
              <w:rPr>
                <w:rFonts w:ascii="宋体" w:hAnsi="宋体"/>
                <w:sz w:val="18"/>
                <w:szCs w:val="18"/>
              </w:rPr>
            </w:pPr>
            <w:r>
              <w:rPr>
                <w:rFonts w:ascii="宋体" w:hAnsi="宋体"/>
                <w:sz w:val="18"/>
                <w:szCs w:val="18"/>
              </w:rPr>
              <w:t>1.3能够了解生物医药企业中研发、生产、质量管理等职能部门的职责</w:t>
            </w:r>
            <w:r>
              <w:rPr>
                <w:rFonts w:hint="eastAsia" w:ascii="宋体" w:hAnsi="宋体"/>
                <w:sz w:val="18"/>
                <w:szCs w:val="18"/>
              </w:rPr>
              <w:t>，</w:t>
            </w:r>
            <w:r>
              <w:rPr>
                <w:rFonts w:ascii="宋体" w:hAnsi="宋体"/>
                <w:sz w:val="18"/>
                <w:szCs w:val="18"/>
              </w:rPr>
              <w:t>培养学生职业荣誉感与自豪感。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jc w:val="center"/>
        </w:trPr>
        <w:tc>
          <w:tcPr>
            <w:tcW w:w="3392" w:type="dxa"/>
            <w:tcBorders>
              <w:left w:val="single" w:color="auto" w:sz="12" w:space="0"/>
            </w:tcBorders>
            <w:shd w:val="clear" w:color="auto" w:fill="auto"/>
            <w:vAlign w:val="center"/>
          </w:tcPr>
          <w:p>
            <w:pPr>
              <w:rPr>
                <w:rFonts w:ascii="宋体" w:hAnsi="宋体"/>
                <w:bCs/>
                <w:sz w:val="18"/>
                <w:szCs w:val="18"/>
              </w:rPr>
            </w:pPr>
            <w:r>
              <w:rPr>
                <w:rFonts w:ascii="宋体" w:hAnsi="宋体"/>
                <w:bCs/>
                <w:sz w:val="18"/>
                <w:szCs w:val="18"/>
              </w:rPr>
              <w:t>2.能够了解</w:t>
            </w:r>
            <w:r>
              <w:rPr>
                <w:rFonts w:hint="eastAsia" w:ascii="宋体" w:hAnsi="宋体"/>
                <w:bCs/>
                <w:sz w:val="18"/>
                <w:szCs w:val="18"/>
              </w:rPr>
              <w:t>药品</w:t>
            </w:r>
            <w:r>
              <w:rPr>
                <w:rFonts w:ascii="宋体" w:hAnsi="宋体"/>
                <w:bCs/>
                <w:sz w:val="18"/>
                <w:szCs w:val="18"/>
              </w:rPr>
              <w:t>研发流程与技术指导原则：能够熟悉</w:t>
            </w:r>
            <w:r>
              <w:rPr>
                <w:rFonts w:hint="eastAsia" w:ascii="宋体" w:hAnsi="宋体"/>
                <w:bCs/>
                <w:sz w:val="18"/>
                <w:szCs w:val="18"/>
              </w:rPr>
              <w:t>药品</w:t>
            </w:r>
            <w:r>
              <w:rPr>
                <w:rFonts w:ascii="宋体" w:hAnsi="宋体"/>
                <w:bCs/>
                <w:sz w:val="18"/>
                <w:szCs w:val="18"/>
              </w:rPr>
              <w:t>研发相关法律、法规与</w:t>
            </w:r>
            <w:r>
              <w:rPr>
                <w:rFonts w:hint="eastAsia" w:ascii="宋体" w:hAnsi="宋体"/>
                <w:bCs/>
                <w:sz w:val="18"/>
                <w:szCs w:val="18"/>
              </w:rPr>
              <w:t>药品监督管理局</w:t>
            </w:r>
            <w:r>
              <w:rPr>
                <w:rFonts w:ascii="宋体" w:hAnsi="宋体"/>
                <w:bCs/>
                <w:sz w:val="18"/>
                <w:szCs w:val="18"/>
              </w:rPr>
              <w:t>相关司室职能，协助企业完成</w:t>
            </w:r>
            <w:r>
              <w:rPr>
                <w:rFonts w:hint="eastAsia" w:ascii="宋体" w:hAnsi="宋体"/>
                <w:bCs/>
                <w:sz w:val="18"/>
                <w:szCs w:val="18"/>
              </w:rPr>
              <w:t>药品</w:t>
            </w:r>
            <w:r>
              <w:rPr>
                <w:rFonts w:ascii="宋体" w:hAnsi="宋体"/>
                <w:bCs/>
                <w:sz w:val="18"/>
                <w:szCs w:val="18"/>
              </w:rPr>
              <w:t>申报与注册工作</w:t>
            </w:r>
          </w:p>
        </w:tc>
        <w:tc>
          <w:tcPr>
            <w:tcW w:w="5942" w:type="dxa"/>
            <w:tcBorders>
              <w:right w:val="single" w:color="auto" w:sz="12" w:space="0"/>
            </w:tcBorders>
            <w:shd w:val="clear" w:color="auto" w:fill="auto"/>
            <w:vAlign w:val="center"/>
          </w:tcPr>
          <w:p>
            <w:pPr>
              <w:rPr>
                <w:rFonts w:ascii="宋体" w:hAnsi="宋体"/>
                <w:sz w:val="18"/>
                <w:szCs w:val="18"/>
              </w:rPr>
            </w:pPr>
            <w:r>
              <w:rPr>
                <w:rFonts w:ascii="宋体" w:hAnsi="宋体"/>
                <w:sz w:val="18"/>
                <w:szCs w:val="18"/>
              </w:rPr>
              <w:t>2.1能</w:t>
            </w:r>
            <w:r>
              <w:rPr>
                <w:rFonts w:hint="eastAsia" w:ascii="宋体" w:hAnsi="宋体"/>
                <w:sz w:val="18"/>
                <w:szCs w:val="18"/>
              </w:rPr>
              <w:t>够</w:t>
            </w:r>
            <w:r>
              <w:rPr>
                <w:rFonts w:ascii="宋体" w:hAnsi="宋体"/>
                <w:sz w:val="18"/>
                <w:szCs w:val="18"/>
              </w:rPr>
              <w:t>掌握《药品管理法》</w:t>
            </w:r>
            <w:r>
              <w:rPr>
                <w:rFonts w:hint="eastAsia" w:ascii="宋体" w:hAnsi="宋体"/>
                <w:sz w:val="18"/>
                <w:szCs w:val="18"/>
              </w:rPr>
              <w:t>、</w:t>
            </w:r>
            <w:r>
              <w:rPr>
                <w:rFonts w:ascii="宋体" w:hAnsi="宋体"/>
                <w:sz w:val="18"/>
                <w:szCs w:val="18"/>
              </w:rPr>
              <w:t>《</w:t>
            </w:r>
            <w:r>
              <w:rPr>
                <w:rFonts w:hint="eastAsia" w:ascii="宋体" w:hAnsi="宋体"/>
                <w:sz w:val="18"/>
                <w:szCs w:val="18"/>
              </w:rPr>
              <w:t>药物非临床研究质量管理规范</w:t>
            </w:r>
            <w:r>
              <w:rPr>
                <w:rFonts w:ascii="宋体" w:hAnsi="宋体"/>
                <w:sz w:val="18"/>
                <w:szCs w:val="18"/>
              </w:rPr>
              <w:t>》</w:t>
            </w:r>
            <w:r>
              <w:rPr>
                <w:rFonts w:hint="eastAsia" w:ascii="宋体" w:hAnsi="宋体"/>
                <w:sz w:val="18"/>
                <w:szCs w:val="18"/>
              </w:rPr>
              <w:t>、</w:t>
            </w:r>
            <w:r>
              <w:rPr>
                <w:rFonts w:ascii="宋体" w:hAnsi="宋体"/>
                <w:sz w:val="18"/>
                <w:szCs w:val="18"/>
              </w:rPr>
              <w:t>《</w:t>
            </w:r>
            <w:r>
              <w:rPr>
                <w:rFonts w:hint="eastAsia" w:ascii="宋体" w:hAnsi="宋体"/>
                <w:sz w:val="18"/>
                <w:szCs w:val="18"/>
              </w:rPr>
              <w:t>药物临床试验质量管理规范</w:t>
            </w:r>
            <w:r>
              <w:rPr>
                <w:rFonts w:ascii="宋体" w:hAnsi="宋体"/>
                <w:sz w:val="18"/>
                <w:szCs w:val="18"/>
              </w:rPr>
              <w:t>》</w:t>
            </w:r>
            <w:r>
              <w:rPr>
                <w:rFonts w:hint="eastAsia" w:ascii="宋体" w:hAnsi="宋体"/>
                <w:sz w:val="18"/>
                <w:szCs w:val="18"/>
              </w:rPr>
              <w:t>、</w:t>
            </w:r>
            <w:r>
              <w:rPr>
                <w:rFonts w:ascii="宋体" w:hAnsi="宋体"/>
                <w:sz w:val="18"/>
                <w:szCs w:val="18"/>
              </w:rPr>
              <w:t>《药品注册管理办法》等</w:t>
            </w:r>
            <w:r>
              <w:rPr>
                <w:rFonts w:hint="eastAsia" w:ascii="宋体" w:hAnsi="宋体"/>
                <w:sz w:val="18"/>
                <w:szCs w:val="18"/>
              </w:rPr>
              <w:t>与</w:t>
            </w:r>
            <w:r>
              <w:rPr>
                <w:rFonts w:ascii="宋体" w:hAnsi="宋体"/>
                <w:sz w:val="18"/>
                <w:szCs w:val="18"/>
              </w:rPr>
              <w:t>药物研发</w:t>
            </w:r>
            <w:r>
              <w:rPr>
                <w:rFonts w:hint="eastAsia" w:ascii="宋体" w:hAnsi="宋体"/>
                <w:sz w:val="18"/>
                <w:szCs w:val="18"/>
              </w:rPr>
              <w:t>及</w:t>
            </w:r>
            <w:r>
              <w:rPr>
                <w:rFonts w:ascii="宋体" w:hAnsi="宋体"/>
                <w:sz w:val="18"/>
                <w:szCs w:val="18"/>
              </w:rPr>
              <w:t>注册相关的法律法规</w:t>
            </w:r>
            <w:r>
              <w:rPr>
                <w:rFonts w:hint="eastAsia" w:ascii="宋体" w:hAnsi="宋体"/>
                <w:sz w:val="18"/>
                <w:szCs w:val="18"/>
              </w:rPr>
              <w:t>；</w:t>
            </w:r>
          </w:p>
          <w:p>
            <w:pPr>
              <w:rPr>
                <w:rFonts w:ascii="宋体" w:hAnsi="宋体"/>
                <w:sz w:val="18"/>
                <w:szCs w:val="18"/>
              </w:rPr>
            </w:pPr>
            <w:r>
              <w:rPr>
                <w:rFonts w:ascii="宋体" w:hAnsi="宋体"/>
                <w:sz w:val="18"/>
                <w:szCs w:val="18"/>
              </w:rPr>
              <w:t>2.2能够熟悉</w:t>
            </w:r>
            <w:r>
              <w:rPr>
                <w:rFonts w:hint="eastAsia" w:ascii="宋体" w:hAnsi="宋体"/>
                <w:sz w:val="18"/>
                <w:szCs w:val="18"/>
              </w:rPr>
              <w:t>国家药品监督管理局</w:t>
            </w:r>
            <w:r>
              <w:rPr>
                <w:rFonts w:ascii="宋体" w:hAnsi="宋体"/>
                <w:sz w:val="18"/>
                <w:szCs w:val="18"/>
              </w:rPr>
              <w:t>及省市县各级药品监督管理</w:t>
            </w:r>
            <w:r>
              <w:rPr>
                <w:rFonts w:hint="eastAsia" w:ascii="宋体" w:hAnsi="宋体"/>
                <w:sz w:val="18"/>
                <w:szCs w:val="18"/>
              </w:rPr>
              <w:t>部门</w:t>
            </w:r>
            <w:r>
              <w:rPr>
                <w:rFonts w:ascii="宋体" w:hAnsi="宋体"/>
                <w:sz w:val="18"/>
                <w:szCs w:val="18"/>
              </w:rPr>
              <w:t>相关司室职能与工作流程</w:t>
            </w:r>
            <w:r>
              <w:rPr>
                <w:rFonts w:hint="eastAsia" w:ascii="宋体" w:hAnsi="宋体"/>
                <w:sz w:val="18"/>
                <w:szCs w:val="18"/>
              </w:rPr>
              <w:t>；</w:t>
            </w:r>
          </w:p>
          <w:p>
            <w:pPr>
              <w:rPr>
                <w:rFonts w:ascii="宋体" w:hAnsi="宋体"/>
                <w:sz w:val="18"/>
                <w:szCs w:val="18"/>
              </w:rPr>
            </w:pPr>
            <w:r>
              <w:rPr>
                <w:rFonts w:ascii="宋体" w:hAnsi="宋体"/>
                <w:sz w:val="18"/>
                <w:szCs w:val="18"/>
              </w:rPr>
              <w:t>2.3了解</w:t>
            </w:r>
            <w:r>
              <w:rPr>
                <w:rFonts w:hint="eastAsia" w:ascii="宋体" w:hAnsi="宋体"/>
                <w:sz w:val="18"/>
                <w:szCs w:val="18"/>
              </w:rPr>
              <w:t>新药</w:t>
            </w:r>
            <w:r>
              <w:rPr>
                <w:rFonts w:ascii="宋体" w:hAnsi="宋体"/>
                <w:sz w:val="18"/>
                <w:szCs w:val="18"/>
              </w:rPr>
              <w:t>临床</w:t>
            </w:r>
            <w:r>
              <w:rPr>
                <w:rFonts w:hint="eastAsia" w:ascii="宋体" w:hAnsi="宋体"/>
                <w:sz w:val="18"/>
                <w:szCs w:val="18"/>
              </w:rPr>
              <w:t>前期</w:t>
            </w:r>
            <w:r>
              <w:rPr>
                <w:rFonts w:ascii="宋体" w:hAnsi="宋体"/>
                <w:sz w:val="18"/>
                <w:szCs w:val="18"/>
              </w:rPr>
              <w:t>及临床期药品研发的技术指导原则要求</w:t>
            </w:r>
            <w:r>
              <w:rPr>
                <w:rFonts w:hint="eastAsia" w:ascii="宋体" w:hAnsi="宋体"/>
                <w:sz w:val="18"/>
                <w:szCs w:val="18"/>
              </w:rPr>
              <w:t>；</w:t>
            </w:r>
          </w:p>
          <w:p>
            <w:pPr>
              <w:rPr>
                <w:rFonts w:ascii="宋体" w:hAnsi="宋体"/>
                <w:sz w:val="18"/>
                <w:szCs w:val="18"/>
              </w:rPr>
            </w:pPr>
            <w:r>
              <w:rPr>
                <w:rFonts w:ascii="宋体" w:hAnsi="宋体"/>
                <w:sz w:val="18"/>
                <w:szCs w:val="18"/>
              </w:rPr>
              <w:t>2.4能够了解其他国家及地区的药物注册要求。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jc w:val="center"/>
        </w:trPr>
        <w:tc>
          <w:tcPr>
            <w:tcW w:w="3392" w:type="dxa"/>
            <w:tcBorders>
              <w:left w:val="single" w:color="auto" w:sz="12" w:space="0"/>
            </w:tcBorders>
            <w:shd w:val="clear" w:color="auto" w:fill="auto"/>
            <w:vAlign w:val="center"/>
          </w:tcPr>
          <w:p>
            <w:pPr>
              <w:rPr>
                <w:rFonts w:ascii="宋体" w:hAnsi="宋体"/>
                <w:bCs/>
                <w:sz w:val="18"/>
                <w:szCs w:val="18"/>
              </w:rPr>
            </w:pPr>
            <w:r>
              <w:rPr>
                <w:rFonts w:ascii="宋体" w:hAnsi="宋体"/>
                <w:bCs/>
                <w:sz w:val="18"/>
                <w:szCs w:val="18"/>
              </w:rPr>
              <w:t>3.能够掌握生物医药企业合规及安全</w:t>
            </w:r>
            <w:r>
              <w:rPr>
                <w:rFonts w:hint="eastAsia" w:ascii="宋体" w:hAnsi="宋体"/>
                <w:bCs/>
                <w:sz w:val="18"/>
                <w:szCs w:val="18"/>
              </w:rPr>
              <w:t>管理措施</w:t>
            </w:r>
            <w:r>
              <w:rPr>
                <w:rFonts w:ascii="宋体" w:hAnsi="宋体"/>
                <w:bCs/>
                <w:sz w:val="18"/>
                <w:szCs w:val="18"/>
              </w:rPr>
              <w:t>：能够在研发及生产现场，综合考虑知识产品保护、环境保护、人类健康、安全生产等多方面非技术因素，进而顺利、高效达成目标任务</w:t>
            </w:r>
          </w:p>
        </w:tc>
        <w:tc>
          <w:tcPr>
            <w:tcW w:w="5942" w:type="dxa"/>
            <w:tcBorders>
              <w:right w:val="single" w:color="auto" w:sz="12" w:space="0"/>
            </w:tcBorders>
            <w:shd w:val="clear" w:color="auto" w:fill="auto"/>
            <w:vAlign w:val="center"/>
          </w:tcPr>
          <w:p>
            <w:pPr>
              <w:rPr>
                <w:rFonts w:ascii="宋体" w:hAnsi="宋体"/>
                <w:sz w:val="18"/>
                <w:szCs w:val="18"/>
              </w:rPr>
            </w:pPr>
            <w:r>
              <w:rPr>
                <w:rFonts w:ascii="宋体" w:hAnsi="宋体"/>
                <w:sz w:val="18"/>
                <w:szCs w:val="18"/>
              </w:rPr>
              <w:t>3.1能够掌握常见消防器材和设施的使用、火灾报警注意事项、疏散逃生的基本常识</w:t>
            </w:r>
            <w:r>
              <w:rPr>
                <w:rFonts w:hint="eastAsia" w:ascii="宋体" w:hAnsi="宋体"/>
                <w:sz w:val="18"/>
                <w:szCs w:val="18"/>
              </w:rPr>
              <w:t>；</w:t>
            </w:r>
          </w:p>
          <w:p>
            <w:pPr>
              <w:rPr>
                <w:rFonts w:ascii="宋体" w:hAnsi="宋体"/>
                <w:sz w:val="18"/>
                <w:szCs w:val="18"/>
              </w:rPr>
            </w:pPr>
            <w:r>
              <w:rPr>
                <w:rFonts w:ascii="宋体" w:hAnsi="宋体"/>
                <w:sz w:val="18"/>
                <w:szCs w:val="18"/>
              </w:rPr>
              <w:t>3.2能够建立并加强合规和知识产权保护的基本意识</w:t>
            </w:r>
            <w:r>
              <w:rPr>
                <w:rFonts w:hint="eastAsia" w:ascii="宋体" w:hAnsi="宋体"/>
                <w:sz w:val="18"/>
                <w:szCs w:val="18"/>
              </w:rPr>
              <w:t>；</w:t>
            </w:r>
          </w:p>
          <w:p>
            <w:pPr>
              <w:rPr>
                <w:rFonts w:ascii="宋体" w:hAnsi="宋体"/>
                <w:sz w:val="18"/>
                <w:szCs w:val="18"/>
              </w:rPr>
            </w:pPr>
            <w:r>
              <w:rPr>
                <w:rFonts w:ascii="宋体" w:hAnsi="宋体"/>
                <w:sz w:val="18"/>
                <w:szCs w:val="18"/>
              </w:rPr>
              <w:t>3.3能够建立并加强信息安全的基本意识</w:t>
            </w:r>
            <w:r>
              <w:rPr>
                <w:rFonts w:hint="eastAsia" w:ascii="宋体" w:hAnsi="宋体"/>
                <w:sz w:val="18"/>
                <w:szCs w:val="18"/>
              </w:rPr>
              <w:t>；</w:t>
            </w:r>
          </w:p>
          <w:p>
            <w:pPr>
              <w:rPr>
                <w:rFonts w:ascii="宋体" w:hAnsi="宋体"/>
                <w:sz w:val="18"/>
                <w:szCs w:val="18"/>
              </w:rPr>
            </w:pPr>
            <w:r>
              <w:rPr>
                <w:rFonts w:ascii="宋体" w:hAnsi="宋体"/>
                <w:sz w:val="18"/>
                <w:szCs w:val="18"/>
              </w:rPr>
              <w:t>3.4能够了解生物医药企业EHS方针，熟悉个人防护用品使用，知晓各项EHS管理制度</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13" w:type="dxa"/>
            <w:bottom w:w="0" w:type="dxa"/>
            <w:right w:w="113" w:type="dxa"/>
          </w:tblCellMar>
        </w:tblPrEx>
        <w:trPr>
          <w:jc w:val="center"/>
        </w:trPr>
        <w:tc>
          <w:tcPr>
            <w:tcW w:w="3392" w:type="dxa"/>
            <w:tcBorders>
              <w:left w:val="single" w:color="auto" w:sz="12" w:space="0"/>
              <w:bottom w:val="single" w:color="auto" w:sz="12" w:space="0"/>
            </w:tcBorders>
            <w:shd w:val="clear" w:color="auto" w:fill="auto"/>
            <w:vAlign w:val="center"/>
          </w:tcPr>
          <w:p>
            <w:pPr>
              <w:rPr>
                <w:rFonts w:ascii="宋体" w:hAnsi="宋体"/>
                <w:bCs/>
                <w:sz w:val="18"/>
                <w:szCs w:val="18"/>
              </w:rPr>
            </w:pPr>
            <w:r>
              <w:rPr>
                <w:rFonts w:ascii="宋体" w:hAnsi="宋体"/>
                <w:bCs/>
                <w:sz w:val="18"/>
                <w:szCs w:val="18"/>
              </w:rPr>
              <w:t>4.能够掌握GMP质量管理体系：能够在不同国家质量管理体系要求下顺利完成生产任务，并能在该管理体系要求下完成现有厂房、仪器、设备改进与升级，并提出建设性意见，全面保证产品质量符合标准要求</w:t>
            </w:r>
          </w:p>
        </w:tc>
        <w:tc>
          <w:tcPr>
            <w:tcW w:w="5942" w:type="dxa"/>
            <w:tcBorders>
              <w:bottom w:val="single" w:color="auto" w:sz="12" w:space="0"/>
              <w:right w:val="single" w:color="auto" w:sz="12" w:space="0"/>
            </w:tcBorders>
            <w:shd w:val="clear" w:color="auto" w:fill="auto"/>
            <w:vAlign w:val="center"/>
          </w:tcPr>
          <w:p>
            <w:pPr>
              <w:rPr>
                <w:rFonts w:ascii="宋体" w:hAnsi="宋体"/>
                <w:sz w:val="18"/>
                <w:szCs w:val="18"/>
              </w:rPr>
            </w:pPr>
            <w:r>
              <w:rPr>
                <w:rFonts w:ascii="宋体" w:hAnsi="宋体"/>
                <w:sz w:val="18"/>
                <w:szCs w:val="18"/>
              </w:rPr>
              <w:t>4.1能够掌握FDA GMP、EU GMP、CFDA/NMPA GMP基本知识</w:t>
            </w:r>
            <w:r>
              <w:rPr>
                <w:rFonts w:hint="eastAsia" w:ascii="宋体" w:hAnsi="宋体"/>
                <w:sz w:val="18"/>
                <w:szCs w:val="18"/>
              </w:rPr>
              <w:t>；</w:t>
            </w:r>
          </w:p>
          <w:p>
            <w:pPr>
              <w:rPr>
                <w:rFonts w:ascii="宋体" w:hAnsi="宋体"/>
                <w:sz w:val="18"/>
                <w:szCs w:val="18"/>
              </w:rPr>
            </w:pPr>
            <w:r>
              <w:rPr>
                <w:rFonts w:ascii="宋体" w:hAnsi="宋体"/>
                <w:sz w:val="18"/>
                <w:szCs w:val="18"/>
              </w:rPr>
              <w:t>4.2能够熟悉ICH Q9、ICH Q10</w:t>
            </w:r>
            <w:r>
              <w:rPr>
                <w:rFonts w:hint="eastAsia" w:ascii="宋体" w:hAnsi="宋体"/>
                <w:sz w:val="18"/>
                <w:szCs w:val="18"/>
              </w:rPr>
              <w:t>；</w:t>
            </w:r>
          </w:p>
          <w:p>
            <w:pPr>
              <w:rPr>
                <w:rFonts w:ascii="宋体" w:hAnsi="宋体"/>
                <w:sz w:val="18"/>
                <w:szCs w:val="18"/>
              </w:rPr>
            </w:pPr>
            <w:r>
              <w:rPr>
                <w:rFonts w:ascii="宋体" w:hAnsi="宋体"/>
                <w:sz w:val="18"/>
                <w:szCs w:val="18"/>
              </w:rPr>
              <w:t>4.3能够了解质量部门职责，建立GMP质量文化理念，进一步理解GMP全面质量文化</w:t>
            </w:r>
            <w:r>
              <w:rPr>
                <w:rFonts w:hint="eastAsia" w:ascii="宋体" w:hAnsi="宋体"/>
                <w:sz w:val="18"/>
                <w:szCs w:val="18"/>
              </w:rPr>
              <w:t>；</w:t>
            </w:r>
          </w:p>
          <w:p>
            <w:pPr>
              <w:rPr>
                <w:rFonts w:ascii="宋体" w:hAnsi="宋体"/>
                <w:sz w:val="18"/>
                <w:szCs w:val="18"/>
              </w:rPr>
            </w:pPr>
            <w:r>
              <w:rPr>
                <w:rFonts w:ascii="宋体" w:hAnsi="宋体"/>
                <w:sz w:val="18"/>
                <w:szCs w:val="18"/>
              </w:rPr>
              <w:t>4.4 能够在GMP条件下从事生产活动</w:t>
            </w:r>
            <w:r>
              <w:rPr>
                <w:rFonts w:hint="eastAsia" w:ascii="宋体" w:hAnsi="宋体"/>
                <w:sz w:val="18"/>
                <w:szCs w:val="18"/>
              </w:rPr>
              <w:t>；</w:t>
            </w:r>
          </w:p>
          <w:p>
            <w:pPr>
              <w:rPr>
                <w:rFonts w:ascii="宋体" w:hAnsi="宋体"/>
                <w:sz w:val="18"/>
                <w:szCs w:val="18"/>
              </w:rPr>
            </w:pPr>
            <w:r>
              <w:rPr>
                <w:rFonts w:ascii="宋体" w:hAnsi="宋体"/>
                <w:sz w:val="18"/>
                <w:szCs w:val="18"/>
              </w:rPr>
              <w:t>4.5 能够设计GMP车间厂房的初步能力</w:t>
            </w:r>
            <w:r>
              <w:rPr>
                <w:rFonts w:hint="eastAsia" w:ascii="宋体" w:hAnsi="宋体"/>
                <w:sz w:val="18"/>
                <w:szCs w:val="18"/>
              </w:rPr>
              <w:t>；</w:t>
            </w:r>
          </w:p>
          <w:p>
            <w:pPr>
              <w:rPr>
                <w:rFonts w:ascii="宋体" w:hAnsi="宋体"/>
                <w:sz w:val="18"/>
                <w:szCs w:val="18"/>
              </w:rPr>
            </w:pPr>
            <w:r>
              <w:rPr>
                <w:rFonts w:ascii="宋体" w:hAnsi="宋体"/>
                <w:sz w:val="18"/>
                <w:szCs w:val="18"/>
              </w:rPr>
              <w:t>4.6 能够改建GMP车间与厂房的初步能力。</w:t>
            </w:r>
          </w:p>
        </w:tc>
      </w:tr>
    </w:tbl>
    <w:p>
      <w:pPr>
        <w:pStyle w:val="68"/>
        <w:ind w:firstLine="420"/>
      </w:pPr>
      <w:r>
        <w:br w:type="page"/>
      </w:r>
    </w:p>
    <w:p>
      <w:pPr>
        <w:pStyle w:val="68"/>
        <w:spacing w:before="156" w:beforeLines="50" w:after="156" w:afterLines="50"/>
        <w:ind w:firstLine="0" w:firstLineChars="0"/>
        <w:jc w:val="center"/>
        <w:rPr>
          <w:rFonts w:ascii="黑体" w:hAnsi="黑体" w:eastAsia="黑体"/>
        </w:rPr>
      </w:pPr>
      <w:r>
        <w:rPr>
          <w:rFonts w:hint="eastAsia" w:ascii="黑体" w:hAnsi="黑体" w:eastAsia="黑体"/>
        </w:rPr>
        <w:t>表B.1  生物制药类职业能力考核指标点</w:t>
      </w:r>
      <w:r>
        <w:rPr>
          <w:rFonts w:hint="eastAsia" w:hAnsi="宋体"/>
        </w:rPr>
        <w:t>（续）</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autofit"/>
        <w:tblCellMar>
          <w:top w:w="0" w:type="dxa"/>
          <w:left w:w="113" w:type="dxa"/>
          <w:bottom w:w="0" w:type="dxa"/>
          <w:right w:w="113" w:type="dxa"/>
        </w:tblCellMar>
      </w:tblPr>
      <w:tblGrid>
        <w:gridCol w:w="3380"/>
        <w:gridCol w:w="591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13" w:type="dxa"/>
            <w:bottom w:w="0" w:type="dxa"/>
            <w:right w:w="113" w:type="dxa"/>
          </w:tblCellMar>
        </w:tblPrEx>
        <w:trPr>
          <w:tblHeader/>
          <w:jc w:val="center"/>
        </w:trPr>
        <w:tc>
          <w:tcPr>
            <w:tcW w:w="3392" w:type="dxa"/>
            <w:shd w:val="clear" w:color="auto" w:fill="auto"/>
          </w:tcPr>
          <w:p>
            <w:pPr>
              <w:ind w:firstLine="360"/>
              <w:jc w:val="center"/>
              <w:rPr>
                <w:rFonts w:ascii="宋体" w:hAnsi="宋体"/>
                <w:sz w:val="18"/>
                <w:szCs w:val="18"/>
              </w:rPr>
            </w:pPr>
            <w:r>
              <w:rPr>
                <w:rFonts w:ascii="宋体" w:hAnsi="宋体"/>
                <w:sz w:val="18"/>
                <w:szCs w:val="18"/>
              </w:rPr>
              <w:t>一级指标</w:t>
            </w:r>
          </w:p>
        </w:tc>
        <w:tc>
          <w:tcPr>
            <w:tcW w:w="5942" w:type="dxa"/>
            <w:shd w:val="clear" w:color="auto" w:fill="auto"/>
          </w:tcPr>
          <w:p>
            <w:pPr>
              <w:ind w:firstLine="360"/>
              <w:jc w:val="center"/>
              <w:rPr>
                <w:rFonts w:ascii="宋体" w:hAnsi="宋体"/>
                <w:sz w:val="18"/>
                <w:szCs w:val="18"/>
              </w:rPr>
            </w:pPr>
            <w:r>
              <w:rPr>
                <w:rFonts w:ascii="宋体" w:hAnsi="宋体"/>
                <w:sz w:val="18"/>
                <w:szCs w:val="18"/>
              </w:rPr>
              <w:t>二级指标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13" w:type="dxa"/>
            <w:bottom w:w="0" w:type="dxa"/>
            <w:right w:w="113" w:type="dxa"/>
          </w:tblCellMar>
        </w:tblPrEx>
        <w:trPr>
          <w:jc w:val="center"/>
        </w:trPr>
        <w:tc>
          <w:tcPr>
            <w:tcW w:w="3392" w:type="dxa"/>
            <w:shd w:val="clear" w:color="auto" w:fill="auto"/>
            <w:vAlign w:val="center"/>
          </w:tcPr>
          <w:p>
            <w:pPr>
              <w:rPr>
                <w:rFonts w:ascii="宋体" w:hAnsi="宋体"/>
                <w:bCs/>
                <w:sz w:val="18"/>
                <w:szCs w:val="18"/>
              </w:rPr>
            </w:pPr>
            <w:r>
              <w:rPr>
                <w:rFonts w:ascii="宋体" w:hAnsi="宋体"/>
                <w:bCs/>
                <w:sz w:val="18"/>
                <w:szCs w:val="18"/>
              </w:rPr>
              <w:t>5.能够掌握生物制药核心生产工艺及实操要点</w:t>
            </w:r>
            <w:r>
              <w:rPr>
                <w:rFonts w:hint="eastAsia" w:ascii="宋体" w:hAnsi="宋体"/>
                <w:bCs/>
                <w:sz w:val="18"/>
                <w:szCs w:val="18"/>
              </w:rPr>
              <w:t>：</w:t>
            </w:r>
            <w:r>
              <w:rPr>
                <w:rFonts w:ascii="宋体" w:hAnsi="宋体"/>
                <w:bCs/>
                <w:sz w:val="18"/>
                <w:szCs w:val="18"/>
              </w:rPr>
              <w:t>能够设计针对生物医药生产现场出现的复杂工程问题的解决方案，设计满足特定需求的系统、单元或工艺流程，并能在设计环节中考虑健康、安全、环境、政策法律、社会文化等因素</w:t>
            </w:r>
          </w:p>
        </w:tc>
        <w:tc>
          <w:tcPr>
            <w:tcW w:w="5942" w:type="dxa"/>
            <w:shd w:val="clear" w:color="auto" w:fill="auto"/>
            <w:vAlign w:val="center"/>
          </w:tcPr>
          <w:p>
            <w:pPr>
              <w:rPr>
                <w:rFonts w:ascii="宋体" w:hAnsi="宋体"/>
                <w:sz w:val="18"/>
                <w:szCs w:val="18"/>
              </w:rPr>
            </w:pPr>
            <w:r>
              <w:rPr>
                <w:rFonts w:ascii="宋体" w:hAnsi="宋体"/>
                <w:sz w:val="18"/>
                <w:szCs w:val="18"/>
              </w:rPr>
              <w:t>5.1能够掌握生物医药实验室基本操作要点；</w:t>
            </w:r>
          </w:p>
          <w:p>
            <w:pPr>
              <w:rPr>
                <w:rFonts w:ascii="宋体" w:hAnsi="宋体"/>
                <w:sz w:val="18"/>
                <w:szCs w:val="18"/>
              </w:rPr>
            </w:pPr>
            <w:r>
              <w:rPr>
                <w:rFonts w:ascii="宋体" w:hAnsi="宋体"/>
                <w:sz w:val="18"/>
                <w:szCs w:val="18"/>
              </w:rPr>
              <w:t>5.2能够掌握生物医药工艺实验室基本操作要点；</w:t>
            </w:r>
          </w:p>
          <w:p>
            <w:pPr>
              <w:rPr>
                <w:rFonts w:ascii="宋体" w:hAnsi="宋体"/>
                <w:sz w:val="18"/>
                <w:szCs w:val="18"/>
              </w:rPr>
            </w:pPr>
            <w:r>
              <w:rPr>
                <w:rFonts w:ascii="宋体" w:hAnsi="宋体"/>
                <w:sz w:val="18"/>
                <w:szCs w:val="18"/>
              </w:rPr>
              <w:t>5.3能够掌握发酵工艺原理及生产SOP；</w:t>
            </w:r>
          </w:p>
          <w:p>
            <w:pPr>
              <w:rPr>
                <w:rFonts w:ascii="宋体" w:hAnsi="宋体"/>
                <w:sz w:val="18"/>
                <w:szCs w:val="18"/>
              </w:rPr>
            </w:pPr>
            <w:r>
              <w:rPr>
                <w:rFonts w:ascii="宋体" w:hAnsi="宋体"/>
                <w:sz w:val="18"/>
                <w:szCs w:val="18"/>
              </w:rPr>
              <w:t>5.4能够掌握规模化细胞培养工艺原理及生产SOP；</w:t>
            </w:r>
          </w:p>
          <w:p>
            <w:pPr>
              <w:rPr>
                <w:rFonts w:ascii="宋体" w:hAnsi="宋体"/>
                <w:sz w:val="18"/>
                <w:szCs w:val="18"/>
              </w:rPr>
            </w:pPr>
            <w:r>
              <w:rPr>
                <w:rFonts w:ascii="宋体" w:hAnsi="宋体"/>
                <w:sz w:val="18"/>
                <w:szCs w:val="18"/>
              </w:rPr>
              <w:t>5.5能够掌握生物反应器工程原理及生产SOP；</w:t>
            </w:r>
          </w:p>
          <w:p>
            <w:pPr>
              <w:rPr>
                <w:rFonts w:ascii="宋体" w:hAnsi="宋体"/>
                <w:sz w:val="18"/>
                <w:szCs w:val="18"/>
              </w:rPr>
            </w:pPr>
            <w:r>
              <w:rPr>
                <w:rFonts w:ascii="宋体" w:hAnsi="宋体"/>
                <w:sz w:val="18"/>
                <w:szCs w:val="18"/>
              </w:rPr>
              <w:t>5.6能够掌握生物大分子表达、分离纯化原理及生产SOP；</w:t>
            </w:r>
          </w:p>
          <w:p>
            <w:pPr>
              <w:rPr>
                <w:rFonts w:ascii="宋体" w:hAnsi="宋体"/>
                <w:sz w:val="18"/>
                <w:szCs w:val="18"/>
              </w:rPr>
            </w:pPr>
            <w:r>
              <w:rPr>
                <w:rFonts w:ascii="宋体" w:hAnsi="宋体"/>
                <w:sz w:val="18"/>
                <w:szCs w:val="18"/>
              </w:rPr>
              <w:t>5.7能够掌握生物药物质量控制与评价实操要点；</w:t>
            </w:r>
          </w:p>
          <w:p>
            <w:pPr>
              <w:rPr>
                <w:rFonts w:ascii="宋体" w:hAnsi="宋体"/>
                <w:sz w:val="18"/>
                <w:szCs w:val="18"/>
              </w:rPr>
            </w:pPr>
            <w:r>
              <w:rPr>
                <w:rFonts w:ascii="宋体" w:hAnsi="宋体"/>
                <w:sz w:val="18"/>
                <w:szCs w:val="18"/>
              </w:rPr>
              <w:t>5.8能够掌握生物药物制剂原理及生产SOP；</w:t>
            </w:r>
          </w:p>
          <w:p>
            <w:pPr>
              <w:rPr>
                <w:rFonts w:ascii="宋体" w:hAnsi="宋体"/>
                <w:sz w:val="18"/>
                <w:szCs w:val="18"/>
              </w:rPr>
            </w:pPr>
            <w:r>
              <w:rPr>
                <w:rFonts w:ascii="宋体" w:hAnsi="宋体"/>
                <w:sz w:val="18"/>
                <w:szCs w:val="18"/>
              </w:rPr>
              <w:t>5.9能够掌握配液原理及生产SOP；</w:t>
            </w:r>
          </w:p>
          <w:p>
            <w:pPr>
              <w:rPr>
                <w:rFonts w:ascii="宋体" w:hAnsi="宋体"/>
                <w:b/>
                <w:sz w:val="18"/>
                <w:szCs w:val="18"/>
              </w:rPr>
            </w:pPr>
            <w:r>
              <w:rPr>
                <w:rFonts w:ascii="宋体" w:hAnsi="宋体"/>
                <w:sz w:val="18"/>
                <w:szCs w:val="18"/>
              </w:rPr>
              <w:t>5.10能够掌握洁净区工作的基本操作技能。</w:t>
            </w:r>
          </w:p>
        </w:tc>
      </w:tr>
    </w:tbl>
    <w:p>
      <w:pPr>
        <w:pStyle w:val="68"/>
        <w:ind w:firstLine="420"/>
      </w:pPr>
    </w:p>
    <w:p>
      <w:pPr>
        <w:pStyle w:val="68"/>
        <w:ind w:firstLine="420"/>
      </w:pPr>
    </w:p>
    <w:p>
      <w:pPr>
        <w:pStyle w:val="68"/>
        <w:ind w:firstLine="420"/>
      </w:pPr>
    </w:p>
    <w:p>
      <w:pPr>
        <w:pStyle w:val="68"/>
        <w:ind w:firstLine="420"/>
      </w:pPr>
    </w:p>
    <w:p>
      <w:pPr>
        <w:pStyle w:val="68"/>
        <w:ind w:firstLine="420"/>
        <w:sectPr>
          <w:headerReference r:id="rId22" w:type="default"/>
          <w:footerReference r:id="rId24" w:type="default"/>
          <w:headerReference r:id="rId23" w:type="even"/>
          <w:footerReference r:id="rId25" w:type="even"/>
          <w:pgSz w:w="11906" w:h="16838"/>
          <w:pgMar w:top="1417" w:right="1134" w:bottom="1134" w:left="1417" w:header="1418" w:footer="1134" w:gutter="284"/>
          <w:cols w:space="425" w:num="1"/>
          <w:formProt w:val="0"/>
          <w:docGrid w:type="lines" w:linePitch="312" w:charSpace="0"/>
        </w:sectPr>
      </w:pPr>
    </w:p>
    <w:p>
      <w:pPr>
        <w:pStyle w:val="103"/>
        <w:numPr>
          <w:ilvl w:val="0"/>
          <w:numId w:val="9"/>
        </w:numPr>
        <w:ind w:firstLine="0"/>
        <w:rPr>
          <w:vanish w:val="0"/>
        </w:rPr>
      </w:pPr>
    </w:p>
    <w:p>
      <w:pPr>
        <w:pStyle w:val="104"/>
        <w:rPr>
          <w:vanish w:val="0"/>
        </w:rPr>
      </w:pPr>
    </w:p>
    <w:p>
      <w:pPr>
        <w:pStyle w:val="87"/>
        <w:numPr>
          <w:ilvl w:val="0"/>
          <w:numId w:val="6"/>
        </w:numPr>
        <w:spacing w:before="567" w:after="0" w:afterLines="0"/>
        <w:ind w:left="0"/>
      </w:pPr>
      <w:bookmarkStart w:id="128" w:name="_Toc181977832"/>
      <w:bookmarkStart w:id="129" w:name="_Toc174113378"/>
    </w:p>
    <w:p>
      <w:pPr>
        <w:pStyle w:val="87"/>
        <w:spacing w:before="0" w:after="0" w:afterLines="0"/>
      </w:pPr>
      <w:r>
        <w:t>（</w:t>
      </w:r>
      <w:r>
        <w:rPr>
          <w:rFonts w:hint="eastAsia"/>
        </w:rPr>
        <w:t>资料性）</w:t>
      </w:r>
    </w:p>
    <w:p>
      <w:pPr>
        <w:pStyle w:val="87"/>
        <w:spacing w:before="0" w:after="284" w:afterLines="0"/>
      </w:pPr>
      <w:r>
        <w:rPr>
          <w:rFonts w:hint="eastAsia"/>
        </w:rPr>
        <w:t>生物制药类职业能力、课程、典型岗位的对应关系</w:t>
      </w:r>
      <w:bookmarkEnd w:id="128"/>
      <w:bookmarkEnd w:id="129"/>
    </w:p>
    <w:p>
      <w:pPr>
        <w:pStyle w:val="68"/>
        <w:ind w:firstLine="420"/>
      </w:pPr>
      <w:r>
        <w:t>生物制药类职业能力、课程、典型岗位的对应关系见表C.1。</w:t>
      </w:r>
    </w:p>
    <w:p>
      <w:pPr>
        <w:pStyle w:val="88"/>
        <w:numPr>
          <w:ilvl w:val="0"/>
          <w:numId w:val="0"/>
        </w:numPr>
        <w:spacing w:before="156" w:after="156"/>
      </w:pPr>
      <w:r>
        <w:t xml:space="preserve">表C.1  </w:t>
      </w:r>
      <w:r>
        <w:rPr>
          <w:rFonts w:hint="eastAsia"/>
        </w:rPr>
        <w:t>生物制药类</w:t>
      </w:r>
      <w:r>
        <w:t>职业能力</w:t>
      </w:r>
      <w:r>
        <w:rPr>
          <w:rFonts w:hint="eastAsia"/>
        </w:rPr>
        <w:t>-课程-典型岗位的对应关系表</w:t>
      </w:r>
    </w:p>
    <w:tbl>
      <w:tblPr>
        <w:tblStyle w:val="2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037"/>
        <w:gridCol w:w="3033"/>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12" w:space="0"/>
              <w:left w:val="single" w:color="auto" w:sz="12" w:space="0"/>
              <w:bottom w:val="single" w:color="auto" w:sz="8" w:space="0"/>
            </w:tcBorders>
            <w:shd w:val="clear" w:color="auto" w:fill="auto"/>
            <w:vAlign w:val="center"/>
          </w:tcPr>
          <w:p>
            <w:pPr>
              <w:jc w:val="center"/>
              <w:rPr>
                <w:rFonts w:ascii="宋体" w:hAnsi="宋体"/>
                <w:bCs/>
                <w:sz w:val="18"/>
                <w:szCs w:val="24"/>
              </w:rPr>
            </w:pPr>
            <w:r>
              <w:rPr>
                <w:rFonts w:hint="eastAsia" w:ascii="宋体" w:hAnsi="宋体"/>
                <w:bCs/>
                <w:sz w:val="18"/>
                <w:szCs w:val="24"/>
              </w:rPr>
              <w:t>职业</w:t>
            </w:r>
            <w:r>
              <w:rPr>
                <w:rFonts w:ascii="宋体" w:hAnsi="宋体"/>
                <w:bCs/>
                <w:sz w:val="18"/>
                <w:szCs w:val="24"/>
              </w:rPr>
              <w:t>能力</w:t>
            </w:r>
          </w:p>
          <w:p>
            <w:pPr>
              <w:jc w:val="center"/>
              <w:rPr>
                <w:rFonts w:ascii="宋体" w:hAnsi="宋体"/>
                <w:bCs/>
                <w:sz w:val="18"/>
                <w:szCs w:val="24"/>
              </w:rPr>
            </w:pPr>
            <w:r>
              <w:rPr>
                <w:rFonts w:ascii="宋体" w:hAnsi="宋体"/>
                <w:bCs/>
                <w:sz w:val="18"/>
                <w:szCs w:val="24"/>
              </w:rPr>
              <w:t>（表</w:t>
            </w:r>
            <w:r>
              <w:rPr>
                <w:rFonts w:hint="eastAsia" w:ascii="宋体" w:hAnsi="宋体"/>
                <w:bCs/>
                <w:sz w:val="18"/>
                <w:szCs w:val="24"/>
              </w:rPr>
              <w:t>B</w:t>
            </w:r>
            <w:r>
              <w:rPr>
                <w:rFonts w:ascii="宋体" w:hAnsi="宋体"/>
                <w:bCs/>
                <w:sz w:val="18"/>
                <w:szCs w:val="24"/>
              </w:rPr>
              <w:t>.1二级指标）</w:t>
            </w:r>
          </w:p>
        </w:tc>
        <w:tc>
          <w:tcPr>
            <w:tcW w:w="3112" w:type="dxa"/>
            <w:tcBorders>
              <w:top w:val="single" w:color="auto" w:sz="12" w:space="0"/>
              <w:bottom w:val="single" w:color="auto" w:sz="8" w:space="0"/>
            </w:tcBorders>
            <w:shd w:val="clear" w:color="auto" w:fill="auto"/>
            <w:vAlign w:val="center"/>
          </w:tcPr>
          <w:p>
            <w:pPr>
              <w:jc w:val="center"/>
              <w:rPr>
                <w:rFonts w:ascii="宋体" w:hAnsi="宋体"/>
                <w:bCs/>
                <w:sz w:val="18"/>
                <w:szCs w:val="24"/>
              </w:rPr>
            </w:pPr>
            <w:r>
              <w:rPr>
                <w:rFonts w:ascii="宋体" w:hAnsi="宋体"/>
                <w:bCs/>
                <w:sz w:val="18"/>
                <w:szCs w:val="24"/>
              </w:rPr>
              <w:t>课程</w:t>
            </w:r>
            <w:r>
              <w:rPr>
                <w:rFonts w:hint="eastAsia" w:ascii="宋体" w:hAnsi="宋体"/>
                <w:bCs/>
                <w:sz w:val="18"/>
                <w:szCs w:val="24"/>
              </w:rPr>
              <w:t>名称</w:t>
            </w:r>
          </w:p>
        </w:tc>
        <w:tc>
          <w:tcPr>
            <w:tcW w:w="3112" w:type="dxa"/>
            <w:tcBorders>
              <w:top w:val="single" w:color="auto" w:sz="12" w:space="0"/>
              <w:bottom w:val="single" w:color="auto" w:sz="8" w:space="0"/>
              <w:right w:val="single" w:color="auto" w:sz="12" w:space="0"/>
            </w:tcBorders>
            <w:shd w:val="clear" w:color="auto" w:fill="auto"/>
            <w:vAlign w:val="center"/>
          </w:tcPr>
          <w:p>
            <w:pPr>
              <w:pStyle w:val="77"/>
              <w:widowControl w:val="0"/>
            </w:pPr>
            <w:r>
              <w:rPr>
                <w:rFonts w:hint="eastAsia"/>
              </w:rPr>
              <w:t>典型岗位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left w:val="single" w:color="auto" w:sz="12" w:space="0"/>
            </w:tcBorders>
            <w:shd w:val="clear" w:color="auto" w:fill="auto"/>
            <w:vAlign w:val="center"/>
          </w:tcPr>
          <w:p>
            <w:pPr>
              <w:jc w:val="center"/>
              <w:rPr>
                <w:rFonts w:ascii="宋体" w:hAnsi="宋体"/>
                <w:bCs/>
                <w:sz w:val="18"/>
                <w:szCs w:val="24"/>
              </w:rPr>
            </w:pPr>
            <w:bookmarkStart w:id="130" w:name="_Hlk105914838"/>
            <w:r>
              <w:rPr>
                <w:rFonts w:ascii="宋体" w:hAnsi="宋体"/>
                <w:bCs/>
                <w:sz w:val="18"/>
                <w:szCs w:val="24"/>
              </w:rPr>
              <w:t>5.1、5.2</w:t>
            </w:r>
            <w:bookmarkEnd w:id="130"/>
          </w:p>
        </w:tc>
        <w:tc>
          <w:tcPr>
            <w:tcW w:w="3112" w:type="dxa"/>
            <w:tcBorders>
              <w:top w:val="single" w:color="auto" w:sz="8" w:space="0"/>
            </w:tcBorders>
            <w:shd w:val="clear" w:color="auto" w:fill="auto"/>
            <w:vAlign w:val="center"/>
          </w:tcPr>
          <w:p>
            <w:pPr>
              <w:jc w:val="center"/>
              <w:rPr>
                <w:rFonts w:ascii="宋体" w:hAnsi="宋体"/>
                <w:bCs/>
                <w:sz w:val="18"/>
                <w:szCs w:val="24"/>
              </w:rPr>
            </w:pPr>
            <w:r>
              <w:rPr>
                <w:rFonts w:ascii="宋体" w:hAnsi="宋体"/>
                <w:bCs/>
                <w:sz w:val="18"/>
                <w:szCs w:val="24"/>
              </w:rPr>
              <w:t>分子生物</w:t>
            </w:r>
            <w:r>
              <w:rPr>
                <w:rFonts w:hint="eastAsia" w:ascii="宋体" w:hAnsi="宋体"/>
                <w:bCs/>
                <w:sz w:val="18"/>
                <w:szCs w:val="24"/>
              </w:rPr>
              <w:t>学</w:t>
            </w:r>
            <w:r>
              <w:rPr>
                <w:rFonts w:ascii="宋体" w:hAnsi="宋体"/>
                <w:bCs/>
                <w:sz w:val="18"/>
                <w:szCs w:val="24"/>
              </w:rPr>
              <w:t>与基因工程</w:t>
            </w:r>
          </w:p>
        </w:tc>
        <w:tc>
          <w:tcPr>
            <w:tcW w:w="3112" w:type="dxa"/>
            <w:vMerge w:val="restart"/>
            <w:tcBorders>
              <w:right w:val="single" w:color="auto" w:sz="12" w:space="0"/>
            </w:tcBorders>
            <w:vAlign w:val="center"/>
          </w:tcPr>
          <w:p>
            <w:pPr>
              <w:jc w:val="center"/>
              <w:rPr>
                <w:bCs/>
                <w:sz w:val="18"/>
                <w:szCs w:val="24"/>
              </w:rPr>
            </w:pPr>
            <w:r>
              <w:rPr>
                <w:bCs/>
                <w:sz w:val="18"/>
                <w:szCs w:val="24"/>
              </w:rPr>
              <w:t>分子生物学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4.1</w:t>
            </w:r>
            <w:r>
              <w:rPr>
                <w:rFonts w:hint="eastAsia" w:ascii="宋体" w:hAnsi="宋体"/>
                <w:bCs/>
                <w:sz w:val="18"/>
                <w:szCs w:val="24"/>
              </w:rPr>
              <w:t>～</w:t>
            </w:r>
            <w:r>
              <w:rPr>
                <w:rFonts w:ascii="宋体" w:hAnsi="宋体"/>
                <w:bCs/>
                <w:sz w:val="18"/>
                <w:szCs w:val="24"/>
              </w:rPr>
              <w:t>4.6、5.5、5.6、5.10</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基因工程制药</w:t>
            </w:r>
          </w:p>
        </w:tc>
        <w:tc>
          <w:tcPr>
            <w:tcW w:w="3112" w:type="dxa"/>
            <w:vMerge w:val="continue"/>
            <w:tcBorders>
              <w:right w:val="single" w:color="auto" w:sz="12" w:space="0"/>
            </w:tcBorders>
            <w:vAlign w:val="center"/>
          </w:tcPr>
          <w:p>
            <w:pPr>
              <w:pStyle w:val="77"/>
              <w:widowControl w:val="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5.1、5.2</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抗体工程</w:t>
            </w:r>
          </w:p>
        </w:tc>
        <w:tc>
          <w:tcPr>
            <w:tcW w:w="3112" w:type="dxa"/>
            <w:vMerge w:val="restart"/>
            <w:tcBorders>
              <w:right w:val="single" w:color="auto" w:sz="12" w:space="0"/>
            </w:tcBorders>
            <w:vAlign w:val="center"/>
          </w:tcPr>
          <w:p>
            <w:pPr>
              <w:jc w:val="center"/>
              <w:rPr>
                <w:bCs/>
                <w:sz w:val="18"/>
                <w:szCs w:val="24"/>
              </w:rPr>
            </w:pPr>
            <w:r>
              <w:rPr>
                <w:bCs/>
                <w:sz w:val="18"/>
                <w:szCs w:val="24"/>
              </w:rPr>
              <w:t>细胞培养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4.1</w:t>
            </w:r>
            <w:r>
              <w:rPr>
                <w:rFonts w:hint="eastAsia" w:ascii="宋体" w:hAnsi="宋体"/>
                <w:bCs/>
                <w:sz w:val="18"/>
                <w:szCs w:val="24"/>
              </w:rPr>
              <w:t>～</w:t>
            </w:r>
            <w:r>
              <w:rPr>
                <w:rFonts w:ascii="宋体" w:hAnsi="宋体"/>
                <w:bCs/>
                <w:sz w:val="18"/>
                <w:szCs w:val="24"/>
              </w:rPr>
              <w:t>4.6、5.4、5.5、5.10</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细胞工程制药</w:t>
            </w:r>
          </w:p>
        </w:tc>
        <w:tc>
          <w:tcPr>
            <w:tcW w:w="3112" w:type="dxa"/>
            <w:vMerge w:val="continue"/>
            <w:tcBorders>
              <w:right w:val="single" w:color="auto" w:sz="12" w:space="0"/>
            </w:tcBorders>
            <w:vAlign w:val="center"/>
          </w:tcPr>
          <w:p>
            <w:pPr>
              <w:pStyle w:val="77"/>
              <w:widowControl w:val="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5.2、5.3</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微生物发酵技术</w:t>
            </w:r>
          </w:p>
        </w:tc>
        <w:tc>
          <w:tcPr>
            <w:tcW w:w="3112" w:type="dxa"/>
            <w:vMerge w:val="restart"/>
            <w:tcBorders>
              <w:right w:val="single" w:color="auto" w:sz="12" w:space="0"/>
            </w:tcBorders>
            <w:vAlign w:val="center"/>
          </w:tcPr>
          <w:p>
            <w:pPr>
              <w:jc w:val="center"/>
              <w:rPr>
                <w:bCs/>
                <w:sz w:val="18"/>
                <w:szCs w:val="24"/>
              </w:rPr>
            </w:pPr>
            <w:r>
              <w:rPr>
                <w:bCs/>
                <w:sz w:val="18"/>
                <w:szCs w:val="24"/>
              </w:rPr>
              <w:t>微生物发酵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4.1</w:t>
            </w:r>
            <w:r>
              <w:rPr>
                <w:rFonts w:hint="eastAsia" w:ascii="宋体" w:hAnsi="宋体"/>
                <w:bCs/>
                <w:sz w:val="18"/>
                <w:szCs w:val="24"/>
              </w:rPr>
              <w:t>～</w:t>
            </w:r>
            <w:r>
              <w:rPr>
                <w:rFonts w:ascii="宋体" w:hAnsi="宋体"/>
                <w:bCs/>
                <w:sz w:val="18"/>
                <w:szCs w:val="24"/>
              </w:rPr>
              <w:t>4.6、5.3、5.10</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发酵工程制药</w:t>
            </w:r>
          </w:p>
        </w:tc>
        <w:tc>
          <w:tcPr>
            <w:tcW w:w="3112" w:type="dxa"/>
            <w:vMerge w:val="continue"/>
            <w:tcBorders>
              <w:right w:val="single" w:color="auto" w:sz="12" w:space="0"/>
            </w:tcBorders>
            <w:vAlign w:val="center"/>
          </w:tcPr>
          <w:p>
            <w:pPr>
              <w:pStyle w:val="77"/>
              <w:widowControl w:val="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5.2、5.6</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生物分离工程</w:t>
            </w:r>
          </w:p>
        </w:tc>
        <w:tc>
          <w:tcPr>
            <w:tcW w:w="3112" w:type="dxa"/>
            <w:vMerge w:val="restart"/>
            <w:tcBorders>
              <w:right w:val="single" w:color="auto" w:sz="12" w:space="0"/>
            </w:tcBorders>
            <w:vAlign w:val="center"/>
          </w:tcPr>
          <w:p>
            <w:pPr>
              <w:jc w:val="center"/>
              <w:rPr>
                <w:bCs/>
                <w:sz w:val="18"/>
                <w:szCs w:val="24"/>
              </w:rPr>
            </w:pPr>
            <w:r>
              <w:rPr>
                <w:bCs/>
                <w:sz w:val="18"/>
                <w:szCs w:val="24"/>
              </w:rPr>
              <w:t>蛋白纯化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4.1</w:t>
            </w:r>
            <w:r>
              <w:rPr>
                <w:rFonts w:hint="eastAsia" w:ascii="宋体" w:hAnsi="宋体"/>
                <w:bCs/>
                <w:sz w:val="18"/>
                <w:szCs w:val="24"/>
              </w:rPr>
              <w:t>～</w:t>
            </w:r>
            <w:r>
              <w:rPr>
                <w:rFonts w:ascii="宋体" w:hAnsi="宋体"/>
                <w:bCs/>
                <w:sz w:val="18"/>
                <w:szCs w:val="24"/>
              </w:rPr>
              <w:t>4.6、5.6、5.10</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蛋白质工程制药</w:t>
            </w:r>
          </w:p>
        </w:tc>
        <w:tc>
          <w:tcPr>
            <w:tcW w:w="3112" w:type="dxa"/>
            <w:vMerge w:val="continue"/>
            <w:tcBorders>
              <w:right w:val="single" w:color="auto" w:sz="12" w:space="0"/>
            </w:tcBorders>
            <w:vAlign w:val="center"/>
          </w:tcPr>
          <w:p>
            <w:pPr>
              <w:pStyle w:val="77"/>
              <w:widowControl w:val="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2.3、2.4、5.7</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生物药评价技术与实践</w:t>
            </w:r>
          </w:p>
        </w:tc>
        <w:tc>
          <w:tcPr>
            <w:tcW w:w="3112" w:type="dxa"/>
            <w:tcBorders>
              <w:right w:val="single" w:color="auto" w:sz="12" w:space="0"/>
            </w:tcBorders>
            <w:vAlign w:val="center"/>
          </w:tcPr>
          <w:p>
            <w:pPr>
              <w:jc w:val="center"/>
              <w:rPr>
                <w:bCs/>
                <w:sz w:val="18"/>
                <w:szCs w:val="24"/>
              </w:rPr>
            </w:pPr>
            <w:r>
              <w:rPr>
                <w:bCs/>
                <w:sz w:val="18"/>
                <w:szCs w:val="24"/>
              </w:rPr>
              <w:t>蛋白分析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2.1、2.4、5.8、5.9</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大分子药物制剂与评价</w:t>
            </w:r>
          </w:p>
        </w:tc>
        <w:tc>
          <w:tcPr>
            <w:tcW w:w="3112" w:type="dxa"/>
            <w:tcBorders>
              <w:right w:val="single" w:color="auto" w:sz="12" w:space="0"/>
            </w:tcBorders>
            <w:vAlign w:val="center"/>
          </w:tcPr>
          <w:p>
            <w:pPr>
              <w:jc w:val="center"/>
              <w:rPr>
                <w:bCs/>
                <w:sz w:val="18"/>
                <w:szCs w:val="24"/>
              </w:rPr>
            </w:pPr>
            <w:r>
              <w:rPr>
                <w:bCs/>
                <w:sz w:val="18"/>
                <w:szCs w:val="24"/>
              </w:rPr>
              <w:t>药物制剂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5.1、5.2、5.3</w:t>
            </w:r>
            <w:r>
              <w:rPr>
                <w:rFonts w:hint="eastAsia" w:ascii="宋体" w:hAnsi="宋体"/>
                <w:bCs/>
                <w:sz w:val="18"/>
                <w:szCs w:val="24"/>
              </w:rPr>
              <w:t>～</w:t>
            </w:r>
            <w:r>
              <w:rPr>
                <w:rFonts w:ascii="宋体" w:hAnsi="宋体"/>
                <w:bCs/>
                <w:sz w:val="18"/>
                <w:szCs w:val="24"/>
              </w:rPr>
              <w:t>5.9、5.10</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制药工业微生物检验与控制</w:t>
            </w:r>
          </w:p>
        </w:tc>
        <w:tc>
          <w:tcPr>
            <w:tcW w:w="3112" w:type="dxa"/>
            <w:tcBorders>
              <w:right w:val="single" w:color="auto" w:sz="12" w:space="0"/>
            </w:tcBorders>
            <w:vAlign w:val="center"/>
          </w:tcPr>
          <w:p>
            <w:pPr>
              <w:jc w:val="center"/>
              <w:rPr>
                <w:rFonts w:ascii="宋体" w:hAnsi="宋体"/>
                <w:bCs/>
                <w:sz w:val="18"/>
                <w:szCs w:val="24"/>
              </w:rPr>
            </w:pPr>
            <w:r>
              <w:rPr>
                <w:rFonts w:ascii="宋体" w:hAnsi="宋体"/>
                <w:bCs/>
                <w:sz w:val="18"/>
                <w:szCs w:val="24"/>
              </w:rPr>
              <w:t>微生物检验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2.1、5.1</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生物药分析新技术</w:t>
            </w:r>
          </w:p>
        </w:tc>
        <w:tc>
          <w:tcPr>
            <w:tcW w:w="3112" w:type="dxa"/>
            <w:vMerge w:val="restart"/>
            <w:tcBorders>
              <w:right w:val="single" w:color="auto" w:sz="12" w:space="0"/>
            </w:tcBorders>
            <w:vAlign w:val="center"/>
          </w:tcPr>
          <w:p>
            <w:pPr>
              <w:jc w:val="center"/>
              <w:rPr>
                <w:rFonts w:ascii="宋体" w:hAnsi="宋体"/>
                <w:bCs/>
                <w:sz w:val="18"/>
                <w:szCs w:val="24"/>
              </w:rPr>
            </w:pPr>
            <w:r>
              <w:rPr>
                <w:rFonts w:ascii="宋体" w:hAnsi="宋体"/>
                <w:bCs/>
                <w:sz w:val="18"/>
                <w:szCs w:val="24"/>
              </w:rPr>
              <w:t>药物分析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2.3、2.4、5.7</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生物药评价技术与实践</w:t>
            </w:r>
          </w:p>
        </w:tc>
        <w:tc>
          <w:tcPr>
            <w:tcW w:w="3112" w:type="dxa"/>
            <w:vMerge w:val="continue"/>
            <w:tcBorders>
              <w:right w:val="single" w:color="auto" w:sz="12" w:space="0"/>
            </w:tcBorders>
            <w:vAlign w:val="center"/>
          </w:tcPr>
          <w:p>
            <w:pPr>
              <w:jc w:val="center"/>
              <w:rPr>
                <w:rFonts w:ascii="宋体" w:hAnsi="宋体"/>
                <w:bCs/>
                <w:sz w:val="18"/>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bookmarkStart w:id="131" w:name="_Hlk105916899"/>
            <w:r>
              <w:rPr>
                <w:rFonts w:ascii="宋体" w:hAnsi="宋体"/>
                <w:bCs/>
                <w:sz w:val="18"/>
                <w:szCs w:val="24"/>
              </w:rPr>
              <w:t>3.1、</w:t>
            </w:r>
            <w:bookmarkEnd w:id="131"/>
            <w:r>
              <w:rPr>
                <w:rFonts w:ascii="宋体" w:hAnsi="宋体"/>
                <w:bCs/>
                <w:sz w:val="18"/>
                <w:szCs w:val="24"/>
              </w:rPr>
              <w:t>3.4、5.1</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生物医药企业EHS</w:t>
            </w:r>
          </w:p>
        </w:tc>
        <w:tc>
          <w:tcPr>
            <w:tcW w:w="3112" w:type="dxa"/>
            <w:vMerge w:val="restart"/>
            <w:tcBorders>
              <w:right w:val="single" w:color="auto" w:sz="12" w:space="0"/>
            </w:tcBorders>
            <w:vAlign w:val="center"/>
          </w:tcPr>
          <w:p>
            <w:pPr>
              <w:jc w:val="center"/>
              <w:rPr>
                <w:rFonts w:ascii="宋体" w:hAnsi="宋体"/>
                <w:bCs/>
                <w:sz w:val="18"/>
                <w:szCs w:val="24"/>
              </w:rPr>
            </w:pPr>
            <w:r>
              <w:rPr>
                <w:rFonts w:ascii="宋体" w:hAnsi="宋体"/>
                <w:bCs/>
                <w:sz w:val="18"/>
                <w:szCs w:val="24"/>
              </w:rPr>
              <w:t>合规性验证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2.1、3.2、3.3、4.1、5.7</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合规管理</w:t>
            </w:r>
          </w:p>
        </w:tc>
        <w:tc>
          <w:tcPr>
            <w:tcW w:w="3112" w:type="dxa"/>
            <w:vMerge w:val="continue"/>
            <w:tcBorders>
              <w:right w:val="single" w:color="auto" w:sz="12" w:space="0"/>
            </w:tcBorders>
            <w:vAlign w:val="center"/>
          </w:tcPr>
          <w:p>
            <w:pPr>
              <w:jc w:val="center"/>
              <w:rPr>
                <w:rFonts w:ascii="宋体" w:hAnsi="宋体"/>
                <w:bCs/>
                <w:sz w:val="18"/>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1.1、2.2</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生物医药产业导论</w:t>
            </w:r>
          </w:p>
        </w:tc>
        <w:tc>
          <w:tcPr>
            <w:tcW w:w="3112" w:type="dxa"/>
            <w:vMerge w:val="restart"/>
            <w:tcBorders>
              <w:right w:val="single" w:color="auto" w:sz="12" w:space="0"/>
            </w:tcBorders>
            <w:vAlign w:val="center"/>
          </w:tcPr>
          <w:p>
            <w:pPr>
              <w:jc w:val="center"/>
              <w:rPr>
                <w:rFonts w:ascii="宋体" w:hAnsi="宋体"/>
                <w:bCs/>
                <w:sz w:val="18"/>
                <w:szCs w:val="24"/>
              </w:rPr>
            </w:pPr>
            <w:r>
              <w:rPr>
                <w:rFonts w:ascii="宋体" w:hAnsi="宋体"/>
                <w:bCs/>
                <w:sz w:val="18"/>
                <w:szCs w:val="24"/>
              </w:rPr>
              <w:t>项目管理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1.2、1.3、4.1</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工程伦理与工程项目管理</w:t>
            </w:r>
          </w:p>
        </w:tc>
        <w:tc>
          <w:tcPr>
            <w:tcW w:w="3112" w:type="dxa"/>
            <w:vMerge w:val="continue"/>
            <w:tcBorders>
              <w:right w:val="single" w:color="auto" w:sz="12" w:space="0"/>
            </w:tcBorders>
            <w:vAlign w:val="center"/>
          </w:tcPr>
          <w:p>
            <w:pPr>
              <w:jc w:val="center"/>
              <w:rPr>
                <w:rFonts w:ascii="宋体" w:hAnsi="宋体"/>
                <w:bCs/>
                <w:sz w:val="18"/>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2.1、4.2</w:t>
            </w:r>
          </w:p>
        </w:tc>
        <w:tc>
          <w:tcPr>
            <w:tcW w:w="3112" w:type="dxa"/>
            <w:shd w:val="clear" w:color="auto" w:fill="auto"/>
            <w:vAlign w:val="center"/>
          </w:tcPr>
          <w:p>
            <w:pPr>
              <w:jc w:val="center"/>
              <w:rPr>
                <w:rFonts w:ascii="宋体" w:hAnsi="宋体"/>
                <w:bCs/>
                <w:sz w:val="18"/>
                <w:szCs w:val="24"/>
              </w:rPr>
            </w:pPr>
            <w:r>
              <w:rPr>
                <w:rFonts w:ascii="宋体" w:hAnsi="宋体"/>
                <w:bCs/>
                <w:sz w:val="18"/>
                <w:szCs w:val="24"/>
              </w:rPr>
              <w:t>ICH指导原则与实操</w:t>
            </w:r>
          </w:p>
        </w:tc>
        <w:tc>
          <w:tcPr>
            <w:tcW w:w="3112" w:type="dxa"/>
            <w:vMerge w:val="restart"/>
            <w:tcBorders>
              <w:right w:val="single" w:color="auto" w:sz="12" w:space="0"/>
            </w:tcBorders>
            <w:vAlign w:val="center"/>
          </w:tcPr>
          <w:p>
            <w:pPr>
              <w:jc w:val="center"/>
              <w:rPr>
                <w:rFonts w:ascii="宋体" w:hAnsi="宋体"/>
                <w:bCs/>
                <w:sz w:val="18"/>
                <w:szCs w:val="24"/>
              </w:rPr>
            </w:pPr>
            <w:r>
              <w:rPr>
                <w:rFonts w:ascii="宋体" w:hAnsi="宋体"/>
                <w:bCs/>
                <w:sz w:val="18"/>
                <w:szCs w:val="24"/>
              </w:rPr>
              <w:t>药品注册申报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left w:val="single" w:color="auto" w:sz="12" w:space="0"/>
              <w:bottom w:val="single" w:color="auto" w:sz="12" w:space="0"/>
            </w:tcBorders>
            <w:shd w:val="clear" w:color="auto" w:fill="auto"/>
            <w:vAlign w:val="center"/>
          </w:tcPr>
          <w:p>
            <w:pPr>
              <w:jc w:val="center"/>
              <w:rPr>
                <w:rFonts w:ascii="宋体" w:hAnsi="宋体"/>
                <w:bCs/>
                <w:sz w:val="18"/>
                <w:szCs w:val="24"/>
              </w:rPr>
            </w:pPr>
            <w:r>
              <w:rPr>
                <w:rFonts w:ascii="宋体" w:hAnsi="宋体"/>
                <w:bCs/>
                <w:sz w:val="18"/>
                <w:szCs w:val="24"/>
              </w:rPr>
              <w:t>4.1</w:t>
            </w:r>
            <w:r>
              <w:rPr>
                <w:rFonts w:hint="eastAsia" w:ascii="宋体" w:hAnsi="宋体"/>
                <w:bCs/>
                <w:sz w:val="18"/>
                <w:szCs w:val="24"/>
              </w:rPr>
              <w:t>、</w:t>
            </w:r>
            <w:r>
              <w:rPr>
                <w:rFonts w:ascii="宋体" w:hAnsi="宋体"/>
                <w:bCs/>
                <w:sz w:val="18"/>
                <w:szCs w:val="24"/>
              </w:rPr>
              <w:t>2.2</w:t>
            </w:r>
            <w:r>
              <w:rPr>
                <w:rFonts w:hint="eastAsia" w:ascii="宋体" w:hAnsi="宋体"/>
                <w:bCs/>
                <w:sz w:val="18"/>
                <w:szCs w:val="24"/>
              </w:rPr>
              <w:t>～</w:t>
            </w:r>
            <w:r>
              <w:rPr>
                <w:rFonts w:ascii="宋体" w:hAnsi="宋体"/>
                <w:bCs/>
                <w:sz w:val="18"/>
                <w:szCs w:val="24"/>
              </w:rPr>
              <w:t>2.4</w:t>
            </w:r>
            <w:r>
              <w:rPr>
                <w:rFonts w:hint="eastAsia" w:ascii="宋体" w:hAnsi="宋体"/>
                <w:bCs/>
                <w:sz w:val="18"/>
                <w:szCs w:val="24"/>
              </w:rPr>
              <w:t>、4</w:t>
            </w:r>
            <w:r>
              <w:rPr>
                <w:rFonts w:ascii="宋体" w:hAnsi="宋体"/>
                <w:bCs/>
                <w:sz w:val="18"/>
                <w:szCs w:val="24"/>
              </w:rPr>
              <w:t>.3</w:t>
            </w:r>
          </w:p>
        </w:tc>
        <w:tc>
          <w:tcPr>
            <w:tcW w:w="3112" w:type="dxa"/>
            <w:tcBorders>
              <w:bottom w:val="single" w:color="auto" w:sz="12" w:space="0"/>
            </w:tcBorders>
            <w:shd w:val="clear" w:color="auto" w:fill="auto"/>
            <w:vAlign w:val="center"/>
          </w:tcPr>
          <w:p>
            <w:pPr>
              <w:jc w:val="center"/>
              <w:rPr>
                <w:rFonts w:ascii="宋体" w:hAnsi="宋体"/>
                <w:bCs/>
                <w:sz w:val="18"/>
                <w:szCs w:val="24"/>
              </w:rPr>
            </w:pPr>
            <w:r>
              <w:rPr>
                <w:rFonts w:hint="eastAsia" w:ascii="宋体" w:hAnsi="宋体"/>
                <w:bCs/>
                <w:sz w:val="18"/>
                <w:szCs w:val="24"/>
              </w:rPr>
              <w:t>药事管理与案例辨析</w:t>
            </w:r>
          </w:p>
        </w:tc>
        <w:tc>
          <w:tcPr>
            <w:tcW w:w="3112" w:type="dxa"/>
            <w:vMerge w:val="continue"/>
            <w:tcBorders>
              <w:bottom w:val="single" w:color="auto" w:sz="12" w:space="0"/>
              <w:right w:val="single" w:color="auto" w:sz="12" w:space="0"/>
            </w:tcBorders>
            <w:shd w:val="clear" w:color="auto" w:fill="auto"/>
            <w:vAlign w:val="center"/>
          </w:tcPr>
          <w:p>
            <w:pPr>
              <w:pStyle w:val="77"/>
              <w:widowControl w:val="0"/>
            </w:pPr>
          </w:p>
        </w:tc>
      </w:tr>
    </w:tbl>
    <w:p>
      <w:pPr>
        <w:pStyle w:val="68"/>
        <w:ind w:firstLine="420"/>
      </w:pPr>
    </w:p>
    <w:p>
      <w:pPr>
        <w:pStyle w:val="68"/>
        <w:ind w:firstLine="420"/>
      </w:pPr>
    </w:p>
    <w:p>
      <w:pPr>
        <w:pStyle w:val="68"/>
        <w:ind w:firstLine="420"/>
        <w:sectPr>
          <w:headerReference r:id="rId26" w:type="default"/>
          <w:footerReference r:id="rId28" w:type="default"/>
          <w:headerReference r:id="rId27" w:type="even"/>
          <w:footerReference r:id="rId29" w:type="even"/>
          <w:pgSz w:w="11906" w:h="16838"/>
          <w:pgMar w:top="1417" w:right="1134" w:bottom="1134" w:left="1417" w:header="1418" w:footer="1134" w:gutter="284"/>
          <w:cols w:space="425" w:num="1"/>
          <w:formProt w:val="0"/>
          <w:docGrid w:type="lines" w:linePitch="312" w:charSpace="0"/>
        </w:sectPr>
      </w:pPr>
    </w:p>
    <w:bookmarkEnd w:id="123"/>
    <w:p>
      <w:pPr>
        <w:pStyle w:val="76"/>
        <w:spacing w:before="567" w:after="283" w:afterLines="0"/>
        <w:rPr>
          <w:spacing w:val="105"/>
        </w:rPr>
      </w:pPr>
      <w:bookmarkStart w:id="132" w:name="_Toc181977833"/>
      <w:r>
        <w:rPr>
          <w:rFonts w:hint="eastAsia"/>
          <w:spacing w:val="105"/>
        </w:rPr>
        <w:t>参考文献</w:t>
      </w:r>
      <w:bookmarkEnd w:id="21"/>
      <w:bookmarkEnd w:id="22"/>
      <w:bookmarkEnd w:id="132"/>
    </w:p>
    <w:p>
      <w:pPr>
        <w:pStyle w:val="68"/>
        <w:numPr>
          <w:ilvl w:val="0"/>
          <w:numId w:val="21"/>
        </w:numPr>
        <w:ind w:firstLine="420"/>
      </w:pPr>
      <w:r>
        <w:rPr>
          <w:rFonts w:hint="eastAsia"/>
        </w:rPr>
        <w:t xml:space="preserve"> </w:t>
      </w:r>
      <w:r>
        <w:t>中华人民共和国教育部</w:t>
      </w:r>
      <w:r>
        <w:rPr>
          <w:rFonts w:hint="eastAsia"/>
        </w:rPr>
        <w:t>.</w:t>
      </w:r>
      <w:r>
        <w:t>普通高等学校本科专业目录</w:t>
      </w:r>
      <w:r>
        <w:rPr>
          <w:rFonts w:hint="eastAsia"/>
        </w:rPr>
        <w:t>：</w:t>
      </w:r>
      <w:r>
        <w:rPr>
          <w:rFonts w:hint="eastAsia"/>
          <w:color w:val="4B4B4B"/>
          <w:szCs w:val="21"/>
          <w:shd w:val="clear" w:color="auto" w:fill="FFFFFF"/>
        </w:rPr>
        <w:t>教高函〔2023〕3号</w:t>
      </w:r>
      <w:r>
        <w:rPr>
          <w:rFonts w:hint="eastAsia"/>
        </w:rPr>
        <w:t>[</w:t>
      </w:r>
      <w:r>
        <w:t>EB/OL].（</w:t>
      </w:r>
      <w:r>
        <w:rPr>
          <w:rFonts w:hint="eastAsia"/>
        </w:rPr>
        <w:t>2</w:t>
      </w:r>
      <w:r>
        <w:t>023-04-04）.http://www.moe.gov.cn/srcsite/A08/moe_1034/s4930/202304/W020230419336779992203.pdf</w:t>
      </w:r>
    </w:p>
    <w:p>
      <w:pPr>
        <w:pStyle w:val="68"/>
        <w:ind w:left="420" w:firstLine="0" w:firstLineChars="0"/>
      </w:pPr>
    </w:p>
    <w:p>
      <w:pPr>
        <w:tabs>
          <w:tab w:val="left" w:pos="4440"/>
        </w:tabs>
        <w:jc w:val="left"/>
        <w:rPr>
          <w:rFonts w:ascii="黑体" w:hAnsi="黑体" w:eastAsia="黑体" w:cs="黑体"/>
          <w:sz w:val="18"/>
          <w:szCs w:val="18"/>
        </w:rPr>
      </w:pPr>
      <w:r>
        <w:rPr>
          <w:rFonts w:ascii="黑体" w:hAnsi="黑体" w:eastAsia="黑体"/>
        </w:rPr>
        <mc:AlternateContent>
          <mc:Choice Requires="wps">
            <w:drawing>
              <wp:anchor distT="0" distB="0" distL="114300" distR="114300" simplePos="0" relativeHeight="251659264" behindDoc="0" locked="0" layoutInCell="1" allowOverlap="1">
                <wp:simplePos x="0" y="0"/>
                <wp:positionH relativeFrom="column">
                  <wp:posOffset>2111375</wp:posOffset>
                </wp:positionH>
                <wp:positionV relativeFrom="paragraph">
                  <wp:posOffset>174625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1"/>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59264;mso-width-relative:page;mso-height-relative:page;" filled="f" stroked="t" coordsize="21600,21600" o:gfxdata="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t4S4nYAAAACQEAAA8AAAAAAAAAAQAgAAAAIgAAAGRy&#10;cy9kb3ducmV2LnhtbFBLAQIUABQAAAAIAIdO4kB7ntT+BQIAANkDAAAOAAAAAAAAAAEAIAAAACcB&#10;AABkcnMvZTJvRG9jLnhtbFBLBQYAAAAABgAGAFkBAACeBQAAAAA=&#10;">
                <v:fill on="f" focussize="0,0"/>
                <v:stroke color="#000000" joinstyle="round"/>
                <v:imagedata o:title=""/>
                <o:lock v:ext="edit" aspectratio="f"/>
              </v:shape>
            </w:pict>
          </mc:Fallback>
        </mc:AlternateContent>
      </w:r>
    </w:p>
    <w:sectPr>
      <w:headerReference r:id="rId30" w:type="default"/>
      <w:footerReference r:id="rId32" w:type="default"/>
      <w:headerReference r:id="rId31" w:type="even"/>
      <w:footerReference r:id="rId33" w:type="even"/>
      <w:pgSz w:w="11906" w:h="16838"/>
      <w:pgMar w:top="1417" w:right="1134" w:bottom="1134" w:left="1417" w:header="1418" w:footer="1134" w:gutter="28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8F707B-D8DB-43A8-94C8-905955A25F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881690C-5B4C-43AD-9C3D-545E55C926CE}"/>
  </w:font>
  <w:font w:name="Dotum,Bold">
    <w:altName w:val="黑体"/>
    <w:panose1 w:val="00000000000000000000"/>
    <w:charset w:val="86"/>
    <w:family w:val="auto"/>
    <w:pitch w:val="default"/>
    <w:sig w:usb0="00000000" w:usb1="00000000" w:usb2="00000010" w:usb3="00000000" w:csb0="00040000" w:csb1="00000000"/>
    <w:embedRegular r:id="rId3" w:fontKey="{2C02F18D-30BF-4B49-9FF3-E107D1E0A3B5}"/>
  </w:font>
  <w:font w:name="SimSun,Bold">
    <w:altName w:val="黑体"/>
    <w:panose1 w:val="00000000000000000000"/>
    <w:charset w:val="86"/>
    <w:family w:val="auto"/>
    <w:pitch w:val="default"/>
    <w:sig w:usb0="00000000" w:usb1="00000000" w:usb2="00000010" w:usb3="00000000" w:csb0="00040000" w:csb1="00000000"/>
    <w:embedRegular r:id="rId4" w:fontKey="{06905175-67F6-4A80-8BFF-3C7C7E0643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 PAGE   \* MERGEFORMAT \* MERGEFORMAT </w:instrText>
    </w:r>
    <w:r>
      <w:fldChar w:fldCharType="separate"/>
    </w:r>
    <w: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fldChar w:fldCharType="begin"/>
    </w:r>
    <w:r>
      <w:instrText xml:space="preserve">PAGE   \* MERGEFORMAT</w:instrText>
    </w:r>
    <w:r>
      <w:fldChar w:fldCharType="separate"/>
    </w:r>
    <w:r>
      <w:rPr>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 PAGE   \* MERGEFORMAT \* MERGEFORMAT </w:instrText>
    </w:r>
    <w:r>
      <w:fldChar w:fldCharType="separate"/>
    </w:r>
    <w: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fldChar w:fldCharType="begin"/>
    </w:r>
    <w:r>
      <w:instrText xml:space="preserve">PAGE   \* MERGEFORMAT</w:instrText>
    </w:r>
    <w:r>
      <w:fldChar w:fldCharType="separate"/>
    </w:r>
    <w:r>
      <w:rPr>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 PAGE   \* MERGEFORMAT \* MERGEFORMAT </w:instrText>
    </w:r>
    <w:r>
      <w:fldChar w:fldCharType="separate"/>
    </w:r>
    <w: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fldChar w:fldCharType="begin"/>
    </w:r>
    <w:r>
      <w:instrText xml:space="preserve">PAGE   \* MERGEFORMAT</w:instrText>
    </w:r>
    <w:r>
      <w:fldChar w:fldCharType="separate"/>
    </w:r>
    <w:r>
      <w:rPr>
        <w:lang w:val="zh-CN"/>
      </w:rP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 PAGE   \* MERGEFORMAT \* MERGEFORMAT </w:instrText>
    </w:r>
    <w:r>
      <w:fldChar w:fldCharType="separate"/>
    </w:r>
    <w:r>
      <w:t>3</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pPr>
    <w:r>
      <w:rPr>
        <w:rFonts w:hint="eastAsia"/>
      </w:rPr>
      <w:t>1</w:t>
    </w:r>
    <w: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ptab w:relativeTo="margin" w:alignment="right" w:leader="none"/>
                          </w:r>
                          <w:r>
                            <w:fldChar w:fldCharType="begin"/>
                          </w:r>
                          <w:r>
                            <w:instrText xml:space="preserve"> PAGE   \* MERGEFORMAT </w:instrText>
                          </w:r>
                          <w:r>
                            <w:fldChar w:fldCharType="separate"/>
                          </w:r>
                          <w:r>
                            <w:rPr>
                              <w:lang w:val="zh-CN"/>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14"/>
                    </w:pPr>
                    <w:r>
                      <w:ptab w:relativeTo="margin" w:alignment="right" w:leader="none"/>
                    </w:r>
                    <w:r>
                      <w:fldChar w:fldCharType="begin"/>
                    </w:r>
                    <w:r>
                      <w:instrText xml:space="preserve"> PAGE   \* MERGEFORMAT </w:instrText>
                    </w:r>
                    <w:r>
                      <w:fldChar w:fldCharType="separate"/>
                    </w:r>
                    <w:r>
                      <w:rPr>
                        <w:lang w:val="zh-CN"/>
                      </w:rPr>
                      <w:t>III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t>III</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fldChar w:fldCharType="begin"/>
    </w:r>
    <w:r>
      <w:instrText xml:space="preserve">PAGE   \* MERGEFORMAT</w:instrText>
    </w:r>
    <w:r>
      <w:fldChar w:fldCharType="separate"/>
    </w:r>
    <w:r>
      <w:rPr>
        <w:lang w:val="zh-CN"/>
      </w:rP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5"/>
        <w:rFonts w:ascii="黑体" w:hAnsi="黑体" w:eastAsia="黑体"/>
        <w:i w:val="0"/>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spacing w:after="283"/>
    </w:pPr>
    <w:r>
      <w:rPr>
        <w:rFonts w:hint="eastAsia" w:hAnsi="黑体"/>
      </w:rPr>
      <w:t>DB32</w:t>
    </w:r>
    <w:r>
      <w:rPr>
        <w:rFonts w:hAnsi="黑体"/>
      </w:rPr>
      <w:t>05</w:t>
    </w:r>
    <w:r>
      <w:rPr>
        <w:rFonts w:hint="eastAsia" w:hAnsi="黑体"/>
      </w:rPr>
      <w:t>/T XXX—20</w:t>
    </w:r>
    <w:r>
      <w:rPr>
        <w:rFonts w:hAnsi="黑体"/>
      </w:rPr>
      <w:t>2</w:t>
    </w:r>
    <w:r>
      <w:rPr>
        <w:rFonts w:hint="eastAsia" w:hAnsi="黑体"/>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14BCC"/>
    <w:multiLevelType w:val="singleLevel"/>
    <w:tmpl w:val="AE314BCC"/>
    <w:lvl w:ilvl="0" w:tentative="0">
      <w:start w:val="1"/>
      <w:numFmt w:val="lowerLetter"/>
      <w:suff w:val="space"/>
      <w:lvlText w:val="%1）"/>
      <w:lvlJc w:val="left"/>
      <w:rPr>
        <w:rFonts w:hint="default" w:ascii="宋体" w:hAnsi="宋体" w:eastAsia="宋体" w:cs="宋体"/>
        <w:sz w:val="21"/>
        <w:szCs w:val="21"/>
      </w:rPr>
    </w:lvl>
  </w:abstractNum>
  <w:abstractNum w:abstractNumId="1">
    <w:nsid w:val="D2565B1F"/>
    <w:multiLevelType w:val="singleLevel"/>
    <w:tmpl w:val="D2565B1F"/>
    <w:lvl w:ilvl="0" w:tentative="0">
      <w:start w:val="1"/>
      <w:numFmt w:val="lowerLetter"/>
      <w:suff w:val="space"/>
      <w:lvlText w:val="%1）"/>
      <w:lvlJc w:val="left"/>
      <w:rPr>
        <w:rFonts w:hint="default" w:ascii="宋体" w:hAnsi="宋体" w:eastAsia="宋体" w:cs="宋体"/>
        <w:sz w:val="21"/>
        <w:szCs w:val="21"/>
      </w:rPr>
    </w:lvl>
  </w:abstractNum>
  <w:abstractNum w:abstractNumId="2">
    <w:nsid w:val="079102AD"/>
    <w:multiLevelType w:val="multilevel"/>
    <w:tmpl w:val="079102AD"/>
    <w:lvl w:ilvl="0" w:tentative="0">
      <w:start w:val="1"/>
      <w:numFmt w:val="decimal"/>
      <w:pStyle w:val="7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50"/>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15EF0C26"/>
    <w:multiLevelType w:val="multilevel"/>
    <w:tmpl w:val="15EF0C26"/>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1DF197E5"/>
    <w:multiLevelType w:val="singleLevel"/>
    <w:tmpl w:val="1DF197E5"/>
    <w:lvl w:ilvl="0" w:tentative="0">
      <w:start w:val="1"/>
      <w:numFmt w:val="decimal"/>
      <w:suff w:val="space"/>
      <w:lvlText w:val="[%1]"/>
      <w:lvlJc w:val="left"/>
    </w:lvl>
  </w:abstractNum>
  <w:abstractNum w:abstractNumId="7">
    <w:nsid w:val="1FC91163"/>
    <w:multiLevelType w:val="multilevel"/>
    <w:tmpl w:val="1FC91163"/>
    <w:lvl w:ilvl="0" w:tentative="0">
      <w:start w:val="1"/>
      <w:numFmt w:val="decimal"/>
      <w:pStyle w:val="5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C5917C3"/>
    <w:multiLevelType w:val="multilevel"/>
    <w:tmpl w:val="2C5917C3"/>
    <w:lvl w:ilvl="0" w:tentative="0">
      <w:start w:val="1"/>
      <w:numFmt w:val="none"/>
      <w:suff w:val="nothing"/>
      <w:lvlText w:val="%1——"/>
      <w:lvlJc w:val="left"/>
      <w:pPr>
        <w:ind w:left="833" w:hanging="408"/>
      </w:pPr>
      <w:rPr>
        <w:rFonts w:hint="eastAsia"/>
        <w:lang w:val="en-US"/>
      </w:rPr>
    </w:lvl>
    <w:lvl w:ilvl="1" w:tentative="0">
      <w:start w:val="1"/>
      <w:numFmt w:val="bullet"/>
      <w:pStyle w:val="57"/>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44C50F90"/>
    <w:multiLevelType w:val="multilevel"/>
    <w:tmpl w:val="44C50F90"/>
    <w:lvl w:ilvl="0" w:tentative="0">
      <w:start w:val="1"/>
      <w:numFmt w:val="lowerLetter"/>
      <w:pStyle w:val="101"/>
      <w:lvlText w:val="%1)"/>
      <w:lvlJc w:val="left"/>
      <w:pPr>
        <w:tabs>
          <w:tab w:val="left" w:pos="851"/>
        </w:tabs>
        <w:ind w:left="851" w:hanging="426"/>
      </w:pPr>
      <w:rPr>
        <w:rFonts w:hint="eastAsia" w:ascii="宋体" w:hAnsi="Times New Roman" w:eastAsia="宋体"/>
        <w:sz w:val="21"/>
      </w:rPr>
    </w:lvl>
    <w:lvl w:ilvl="1" w:tentative="0">
      <w:start w:val="1"/>
      <w:numFmt w:val="decimal"/>
      <w:pStyle w:val="97"/>
      <w:lvlText w:val="%2)"/>
      <w:lvlJc w:val="left"/>
      <w:pPr>
        <w:tabs>
          <w:tab w:val="left" w:pos="1276"/>
        </w:tabs>
        <w:ind w:left="1276" w:hanging="425"/>
      </w:pPr>
      <w:rPr>
        <w:rFonts w:hint="eastAsia" w:ascii="宋体" w:hAnsi="Times New Roman" w:eastAsia="宋体"/>
        <w:sz w:val="21"/>
      </w:rPr>
    </w:lvl>
    <w:lvl w:ilvl="2" w:tentative="0">
      <w:start w:val="1"/>
      <w:numFmt w:val="decimal"/>
      <w:pStyle w:val="9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5603797C"/>
    <w:multiLevelType w:val="multilevel"/>
    <w:tmpl w:val="5603797C"/>
    <w:lvl w:ilvl="0" w:tentative="0">
      <w:start w:val="1"/>
      <w:numFmt w:val="upperLetter"/>
      <w:pStyle w:val="104"/>
      <w:suff w:val="space"/>
      <w:lvlText w:val="%1"/>
      <w:lvlJc w:val="left"/>
      <w:pPr>
        <w:ind w:left="425" w:hanging="425"/>
      </w:pPr>
      <w:rPr>
        <w:rFonts w:hint="eastAsia"/>
      </w:rPr>
    </w:lvl>
    <w:lvl w:ilvl="1" w:tentative="0">
      <w:start w:val="1"/>
      <w:numFmt w:val="decimal"/>
      <w:pStyle w:val="8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646260FA"/>
    <w:multiLevelType w:val="multilevel"/>
    <w:tmpl w:val="646260FA"/>
    <w:lvl w:ilvl="0" w:tentative="0">
      <w:start w:val="1"/>
      <w:numFmt w:val="decimal"/>
      <w:pStyle w:val="6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60"/>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4"/>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BF04F4"/>
    <w:multiLevelType w:val="multilevel"/>
    <w:tmpl w:val="6DBF04F4"/>
    <w:lvl w:ilvl="0" w:tentative="0">
      <w:start w:val="1"/>
      <w:numFmt w:val="none"/>
      <w:pStyle w:val="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6">
    <w:nsid w:val="7057E696"/>
    <w:multiLevelType w:val="singleLevel"/>
    <w:tmpl w:val="7057E696"/>
    <w:lvl w:ilvl="0" w:tentative="0">
      <w:start w:val="1"/>
      <w:numFmt w:val="lowerLetter"/>
      <w:suff w:val="space"/>
      <w:lvlText w:val="%1）"/>
      <w:lvlJc w:val="left"/>
      <w:rPr>
        <w:rFonts w:hint="default" w:ascii="宋体" w:hAnsi="宋体" w:eastAsia="宋体" w:cs="宋体"/>
        <w:sz w:val="21"/>
        <w:szCs w:val="21"/>
      </w:rPr>
    </w:lvl>
  </w:abstractNum>
  <w:num w:numId="1">
    <w:abstractNumId w:val="3"/>
  </w:num>
  <w:num w:numId="2">
    <w:abstractNumId w:val="7"/>
  </w:num>
  <w:num w:numId="3">
    <w:abstractNumId w:val="4"/>
  </w:num>
  <w:num w:numId="4">
    <w:abstractNumId w:val="8"/>
  </w:num>
  <w:num w:numId="5">
    <w:abstractNumId w:val="15"/>
  </w:num>
  <w:num w:numId="6">
    <w:abstractNumId w:val="13"/>
  </w:num>
  <w:num w:numId="7">
    <w:abstractNumId w:val="12"/>
  </w:num>
  <w:num w:numId="8">
    <w:abstractNumId w:val="14"/>
  </w:num>
  <w:num w:numId="9">
    <w:abstractNumId w:val="10"/>
  </w:num>
  <w:num w:numId="10">
    <w:abstractNumId w:val="2"/>
  </w:num>
  <w:num w:numId="11">
    <w:abstractNumId w:val="11"/>
  </w:num>
  <w:num w:numId="12">
    <w:abstractNumId w:val="5"/>
  </w:num>
  <w:num w:numId="13">
    <w:abstractNumId w:val="9"/>
  </w:num>
  <w:num w:numId="14">
    <w:abstractNumId w:val="0"/>
  </w:num>
  <w:num w:numId="15">
    <w:abstractNumId w:val="1"/>
  </w:num>
  <w:num w:numId="16">
    <w:abstractNumId w:val="1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1"/>
  <w:bordersDoNotSurroundFooter w:val="1"/>
  <w:documentProtection w:edit="trackedChange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43A69"/>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50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1D49"/>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3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583F"/>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8337B"/>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4F4834"/>
    <w:rsid w:val="00506EF4"/>
    <w:rsid w:val="005102EF"/>
    <w:rsid w:val="00510EBE"/>
    <w:rsid w:val="005122CD"/>
    <w:rsid w:val="00520237"/>
    <w:rsid w:val="00523728"/>
    <w:rsid w:val="00524CE2"/>
    <w:rsid w:val="0053086A"/>
    <w:rsid w:val="00534D92"/>
    <w:rsid w:val="00536AD1"/>
    <w:rsid w:val="00540818"/>
    <w:rsid w:val="00542910"/>
    <w:rsid w:val="0054505F"/>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BE0"/>
    <w:rsid w:val="00600F7C"/>
    <w:rsid w:val="006045C0"/>
    <w:rsid w:val="00610AF4"/>
    <w:rsid w:val="00613357"/>
    <w:rsid w:val="00616AFA"/>
    <w:rsid w:val="00621AD2"/>
    <w:rsid w:val="00626507"/>
    <w:rsid w:val="0062656D"/>
    <w:rsid w:val="00633884"/>
    <w:rsid w:val="0063437B"/>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010"/>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371"/>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6A34"/>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81F8C"/>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495B"/>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28CA"/>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4FF"/>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2A1C"/>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A5877"/>
    <w:rsid w:val="00EB1109"/>
    <w:rsid w:val="00EB2C29"/>
    <w:rsid w:val="00EB2DBC"/>
    <w:rsid w:val="00EB3505"/>
    <w:rsid w:val="00EB372B"/>
    <w:rsid w:val="00EB3AEB"/>
    <w:rsid w:val="00EB3E6D"/>
    <w:rsid w:val="00EB474D"/>
    <w:rsid w:val="00EB5D5A"/>
    <w:rsid w:val="00EB63A3"/>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34D2939"/>
    <w:rsid w:val="043164D2"/>
    <w:rsid w:val="04DB69C7"/>
    <w:rsid w:val="056C2AC8"/>
    <w:rsid w:val="078D3A1F"/>
    <w:rsid w:val="08D94A4A"/>
    <w:rsid w:val="09332050"/>
    <w:rsid w:val="09652865"/>
    <w:rsid w:val="097D3D26"/>
    <w:rsid w:val="0ADA2F69"/>
    <w:rsid w:val="0AE10BBF"/>
    <w:rsid w:val="0B4B7E79"/>
    <w:rsid w:val="0BBA5614"/>
    <w:rsid w:val="0BBD0185"/>
    <w:rsid w:val="0CE9324B"/>
    <w:rsid w:val="0D011260"/>
    <w:rsid w:val="0E572FD9"/>
    <w:rsid w:val="0F5D4929"/>
    <w:rsid w:val="10F22B45"/>
    <w:rsid w:val="11EA4A5D"/>
    <w:rsid w:val="123426ED"/>
    <w:rsid w:val="1330335A"/>
    <w:rsid w:val="13492913"/>
    <w:rsid w:val="140915D6"/>
    <w:rsid w:val="14AB42D7"/>
    <w:rsid w:val="159863B1"/>
    <w:rsid w:val="1614131D"/>
    <w:rsid w:val="16585639"/>
    <w:rsid w:val="16B6476F"/>
    <w:rsid w:val="1986454E"/>
    <w:rsid w:val="19BD2F50"/>
    <w:rsid w:val="19D653D3"/>
    <w:rsid w:val="19E576EB"/>
    <w:rsid w:val="1A9F3EA8"/>
    <w:rsid w:val="1AE557D7"/>
    <w:rsid w:val="1AF62448"/>
    <w:rsid w:val="1CE617B0"/>
    <w:rsid w:val="1D475092"/>
    <w:rsid w:val="1E901E0D"/>
    <w:rsid w:val="1EFC4C0E"/>
    <w:rsid w:val="1F3709E9"/>
    <w:rsid w:val="1F5511FE"/>
    <w:rsid w:val="1F791B4A"/>
    <w:rsid w:val="1FF922F7"/>
    <w:rsid w:val="203A6C9D"/>
    <w:rsid w:val="213D7067"/>
    <w:rsid w:val="235D1A58"/>
    <w:rsid w:val="23893375"/>
    <w:rsid w:val="23D049E7"/>
    <w:rsid w:val="24F31A54"/>
    <w:rsid w:val="262E49A9"/>
    <w:rsid w:val="291C47AB"/>
    <w:rsid w:val="299E589B"/>
    <w:rsid w:val="29DD2289"/>
    <w:rsid w:val="2A0674B9"/>
    <w:rsid w:val="2A19342E"/>
    <w:rsid w:val="2A9E6EDA"/>
    <w:rsid w:val="2AC259E9"/>
    <w:rsid w:val="2B5F5209"/>
    <w:rsid w:val="2E6A0BA9"/>
    <w:rsid w:val="2F033AB7"/>
    <w:rsid w:val="2FC604F2"/>
    <w:rsid w:val="30512DC8"/>
    <w:rsid w:val="305807BF"/>
    <w:rsid w:val="30BA0FA5"/>
    <w:rsid w:val="32697E49"/>
    <w:rsid w:val="355276CD"/>
    <w:rsid w:val="37875802"/>
    <w:rsid w:val="397A5D84"/>
    <w:rsid w:val="3A38257A"/>
    <w:rsid w:val="3A773D1D"/>
    <w:rsid w:val="3AA47EC1"/>
    <w:rsid w:val="3B337E5E"/>
    <w:rsid w:val="3C0C2E90"/>
    <w:rsid w:val="3C153A08"/>
    <w:rsid w:val="3C5A2A45"/>
    <w:rsid w:val="3D6F398A"/>
    <w:rsid w:val="3D9E1027"/>
    <w:rsid w:val="3E6447D3"/>
    <w:rsid w:val="3FCB4391"/>
    <w:rsid w:val="407103DB"/>
    <w:rsid w:val="41DD26A1"/>
    <w:rsid w:val="432D5ADB"/>
    <w:rsid w:val="455B5C08"/>
    <w:rsid w:val="459E4A6E"/>
    <w:rsid w:val="45E5444B"/>
    <w:rsid w:val="45F10943"/>
    <w:rsid w:val="46024881"/>
    <w:rsid w:val="46432AD9"/>
    <w:rsid w:val="48C6265B"/>
    <w:rsid w:val="491679AE"/>
    <w:rsid w:val="4CC8541E"/>
    <w:rsid w:val="4D7C7F66"/>
    <w:rsid w:val="4E497F1B"/>
    <w:rsid w:val="4E72372F"/>
    <w:rsid w:val="4E826BA1"/>
    <w:rsid w:val="4FB262DF"/>
    <w:rsid w:val="502913D8"/>
    <w:rsid w:val="506A1CDA"/>
    <w:rsid w:val="513145D7"/>
    <w:rsid w:val="51DB264E"/>
    <w:rsid w:val="52013E99"/>
    <w:rsid w:val="52884ADC"/>
    <w:rsid w:val="54EF45B2"/>
    <w:rsid w:val="561C68FE"/>
    <w:rsid w:val="56FA05E0"/>
    <w:rsid w:val="57205312"/>
    <w:rsid w:val="575B4970"/>
    <w:rsid w:val="58953240"/>
    <w:rsid w:val="58EA0B58"/>
    <w:rsid w:val="597102CD"/>
    <w:rsid w:val="5AA42EE1"/>
    <w:rsid w:val="5AB20E18"/>
    <w:rsid w:val="5ADD04B0"/>
    <w:rsid w:val="5B6068E3"/>
    <w:rsid w:val="5E127A94"/>
    <w:rsid w:val="5E774236"/>
    <w:rsid w:val="5EC2103E"/>
    <w:rsid w:val="5F3651D2"/>
    <w:rsid w:val="61E0223F"/>
    <w:rsid w:val="62275A9D"/>
    <w:rsid w:val="62A274F4"/>
    <w:rsid w:val="63473BF7"/>
    <w:rsid w:val="64490C49"/>
    <w:rsid w:val="66832C22"/>
    <w:rsid w:val="66910CA5"/>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ECD387A"/>
    <w:rsid w:val="6F2F03DB"/>
    <w:rsid w:val="6FF139B8"/>
    <w:rsid w:val="70064409"/>
    <w:rsid w:val="72127AC6"/>
    <w:rsid w:val="73765CE2"/>
    <w:rsid w:val="743442CC"/>
    <w:rsid w:val="748E5C99"/>
    <w:rsid w:val="749F2CB9"/>
    <w:rsid w:val="74BF2C7A"/>
    <w:rsid w:val="75682D8E"/>
    <w:rsid w:val="75A31161"/>
    <w:rsid w:val="75D25B10"/>
    <w:rsid w:val="76442929"/>
    <w:rsid w:val="76C27A63"/>
    <w:rsid w:val="795409C4"/>
    <w:rsid w:val="7AF60F49"/>
    <w:rsid w:val="7B0D3B81"/>
    <w:rsid w:val="7BBE3424"/>
    <w:rsid w:val="7E0328BC"/>
    <w:rsid w:val="7FAC1FBF"/>
    <w:rsid w:val="7FF57E3F"/>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2"/>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9"/>
    <w:semiHidden/>
    <w:unhideWhenUsed/>
    <w:qFormat/>
    <w:uiPriority w:val="9"/>
    <w:pPr>
      <w:keepNext/>
      <w:keepLines/>
      <w:spacing w:before="260" w:after="260" w:line="416" w:lineRule="auto"/>
      <w:outlineLvl w:val="2"/>
    </w:pPr>
    <w:rPr>
      <w:b/>
      <w:bCs/>
      <w:sz w:val="32"/>
      <w:szCs w:val="32"/>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toc 7"/>
    <w:basedOn w:val="1"/>
    <w:next w:val="1"/>
    <w:semiHidden/>
    <w:unhideWhenUsed/>
    <w:qFormat/>
    <w:uiPriority w:val="39"/>
    <w:pPr>
      <w:ind w:left="2520" w:leftChars="1200"/>
    </w:pPr>
  </w:style>
  <w:style w:type="paragraph" w:styleId="7">
    <w:name w:val="Normal Indent"/>
    <w:basedOn w:val="1"/>
    <w:next w:val="8"/>
    <w:qFormat/>
    <w:uiPriority w:val="0"/>
    <w:pPr>
      <w:ind w:firstLine="420"/>
    </w:pPr>
  </w:style>
  <w:style w:type="paragraph" w:styleId="8">
    <w:name w:val="envelope return"/>
    <w:basedOn w:val="1"/>
    <w:qFormat/>
    <w:uiPriority w:val="0"/>
    <w:pPr>
      <w:snapToGrid w:val="0"/>
    </w:pPr>
    <w:rPr>
      <w:rFonts w:ascii="Arial" w:hAnsi="Arial" w:eastAsia="仿宋_GB2312"/>
      <w:sz w:val="32"/>
    </w:rPr>
  </w:style>
  <w:style w:type="paragraph" w:styleId="9">
    <w:name w:val="annotation text"/>
    <w:basedOn w:val="1"/>
    <w:semiHidden/>
    <w:unhideWhenUsed/>
    <w:qFormat/>
    <w:uiPriority w:val="99"/>
    <w:pPr>
      <w:jc w:val="left"/>
    </w:pPr>
  </w:style>
  <w:style w:type="paragraph" w:styleId="10">
    <w:name w:val="toc 3"/>
    <w:basedOn w:val="1"/>
    <w:next w:val="1"/>
    <w:unhideWhenUsed/>
    <w:qFormat/>
    <w:uiPriority w:val="39"/>
    <w:pPr>
      <w:ind w:left="840" w:leftChars="400"/>
    </w:pPr>
  </w:style>
  <w:style w:type="paragraph" w:styleId="11">
    <w:name w:val="Date"/>
    <w:basedOn w:val="1"/>
    <w:next w:val="1"/>
    <w:link w:val="47"/>
    <w:semiHidden/>
    <w:unhideWhenUsed/>
    <w:qFormat/>
    <w:uiPriority w:val="99"/>
    <w:pPr>
      <w:ind w:left="100" w:leftChars="2500"/>
    </w:pPr>
  </w:style>
  <w:style w:type="paragraph" w:styleId="12">
    <w:name w:val="Body Text Indent 2"/>
    <w:basedOn w:val="1"/>
    <w:link w:val="40"/>
    <w:qFormat/>
    <w:uiPriority w:val="0"/>
    <w:pPr>
      <w:spacing w:line="276" w:lineRule="auto"/>
      <w:ind w:firstLine="420" w:firstLineChars="200"/>
    </w:pPr>
    <w:rPr>
      <w:rFonts w:ascii="宋体" w:hAnsi="宋体" w:eastAsia="宋体" w:cs="Times New Roman"/>
      <w:snapToGrid w:val="0"/>
      <w:kern w:val="0"/>
      <w:szCs w:val="24"/>
    </w:rPr>
  </w:style>
  <w:style w:type="paragraph" w:styleId="13">
    <w:name w:val="Balloon Text"/>
    <w:basedOn w:val="1"/>
    <w:link w:val="28"/>
    <w:semiHidden/>
    <w:unhideWhenUsed/>
    <w:qFormat/>
    <w:uiPriority w:val="99"/>
    <w:rPr>
      <w:sz w:val="18"/>
      <w:szCs w:val="18"/>
    </w:rPr>
  </w:style>
  <w:style w:type="paragraph" w:styleId="14">
    <w:name w:val="footer"/>
    <w:basedOn w:val="1"/>
    <w:link w:val="27"/>
    <w:unhideWhenUsed/>
    <w:qFormat/>
    <w:uiPriority w:val="99"/>
    <w:pPr>
      <w:tabs>
        <w:tab w:val="center" w:pos="4153"/>
        <w:tab w:val="right" w:pos="8306"/>
      </w:tabs>
      <w:snapToGrid w:val="0"/>
      <w:jc w:val="right"/>
    </w:pPr>
    <w:rPr>
      <w:rFonts w:asciiTheme="minorEastAsia" w:hAnsiTheme="minorEastAsia"/>
      <w:sz w:val="18"/>
      <w:szCs w:val="18"/>
    </w:rPr>
  </w:style>
  <w:style w:type="paragraph" w:styleId="15">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Subtitle"/>
    <w:basedOn w:val="1"/>
    <w:next w:val="1"/>
    <w:link w:val="36"/>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toc 2"/>
    <w:basedOn w:val="1"/>
    <w:next w:val="1"/>
    <w:unhideWhenUsed/>
    <w:qFormat/>
    <w:uiPriority w:val="39"/>
    <w:pPr>
      <w:tabs>
        <w:tab w:val="right" w:leader="dot" w:pos="9344"/>
      </w:tabs>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37"/>
    <w:qFormat/>
    <w:uiPriority w:val="10"/>
    <w:pPr>
      <w:spacing w:before="240" w:after="60"/>
      <w:jc w:val="center"/>
      <w:outlineLvl w:val="0"/>
    </w:pPr>
    <w:rPr>
      <w:rFonts w:eastAsia="宋体" w:asciiTheme="majorHAnsi" w:hAnsiTheme="majorHAnsi" w:cstheme="majorBidi"/>
      <w:b/>
      <w:bCs/>
      <w:sz w:val="32"/>
      <w:szCs w:val="32"/>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basedOn w:val="23"/>
    <w:semiHidden/>
    <w:unhideWhenUsed/>
    <w:qFormat/>
    <w:uiPriority w:val="99"/>
    <w:rPr>
      <w:sz w:val="21"/>
      <w:szCs w:val="21"/>
    </w:rPr>
  </w:style>
  <w:style w:type="character" w:customStyle="1" w:styleId="26">
    <w:name w:val="页眉 Char"/>
    <w:basedOn w:val="23"/>
    <w:link w:val="15"/>
    <w:qFormat/>
    <w:uiPriority w:val="99"/>
    <w:rPr>
      <w:sz w:val="18"/>
      <w:szCs w:val="18"/>
    </w:rPr>
  </w:style>
  <w:style w:type="character" w:customStyle="1" w:styleId="27">
    <w:name w:val="页脚 Char"/>
    <w:basedOn w:val="23"/>
    <w:link w:val="14"/>
    <w:qFormat/>
    <w:uiPriority w:val="99"/>
    <w:rPr>
      <w:rFonts w:asciiTheme="minorEastAsia" w:hAnsiTheme="minorEastAsia" w:eastAsiaTheme="minorEastAsia" w:cstheme="minorBidi"/>
      <w:kern w:val="2"/>
      <w:sz w:val="18"/>
      <w:szCs w:val="18"/>
    </w:rPr>
  </w:style>
  <w:style w:type="character" w:customStyle="1" w:styleId="28">
    <w:name w:val="批注框文本 Char"/>
    <w:basedOn w:val="23"/>
    <w:link w:val="13"/>
    <w:semiHidden/>
    <w:qFormat/>
    <w:uiPriority w:val="99"/>
    <w:rPr>
      <w:sz w:val="18"/>
      <w:szCs w:val="18"/>
    </w:rPr>
  </w:style>
  <w:style w:type="paragraph" w:styleId="29">
    <w:name w:val="List Paragraph"/>
    <w:basedOn w:val="1"/>
    <w:qFormat/>
    <w:uiPriority w:val="34"/>
    <w:pPr>
      <w:ind w:firstLine="420" w:firstLineChars="200"/>
    </w:pPr>
  </w:style>
  <w:style w:type="paragraph" w:customStyle="1" w:styleId="3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1">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2">
    <w:name w:val="标题 1 Char"/>
    <w:basedOn w:val="23"/>
    <w:link w:val="3"/>
    <w:qFormat/>
    <w:uiPriority w:val="99"/>
    <w:rPr>
      <w:rFonts w:ascii="Calibri" w:hAnsi="Calibri" w:eastAsia="宋体" w:cs="Times New Roman"/>
      <w:b/>
      <w:bCs/>
      <w:kern w:val="44"/>
      <w:sz w:val="44"/>
      <w:szCs w:val="44"/>
    </w:rPr>
  </w:style>
  <w:style w:type="paragraph" w:styleId="3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5">
    <w:name w:val="不明显强调1"/>
    <w:basedOn w:val="23"/>
    <w:qFormat/>
    <w:uiPriority w:val="19"/>
    <w:rPr>
      <w:i/>
      <w:iCs/>
      <w:color w:val="808080" w:themeColor="text1" w:themeTint="80"/>
      <w14:textFill>
        <w14:solidFill>
          <w14:schemeClr w14:val="tx1">
            <w14:lumMod w14:val="50000"/>
            <w14:lumOff w14:val="50000"/>
          </w14:schemeClr>
        </w14:solidFill>
      </w14:textFill>
    </w:rPr>
  </w:style>
  <w:style w:type="character" w:customStyle="1" w:styleId="36">
    <w:name w:val="副标题 Char"/>
    <w:basedOn w:val="23"/>
    <w:link w:val="17"/>
    <w:qFormat/>
    <w:uiPriority w:val="11"/>
    <w:rPr>
      <w:rFonts w:eastAsia="宋体" w:asciiTheme="majorHAnsi" w:hAnsiTheme="majorHAnsi" w:cstheme="majorBidi"/>
      <w:b/>
      <w:bCs/>
      <w:kern w:val="28"/>
      <w:sz w:val="32"/>
      <w:szCs w:val="32"/>
    </w:rPr>
  </w:style>
  <w:style w:type="character" w:customStyle="1" w:styleId="37">
    <w:name w:val="标题 Char"/>
    <w:basedOn w:val="23"/>
    <w:link w:val="20"/>
    <w:qFormat/>
    <w:uiPriority w:val="10"/>
    <w:rPr>
      <w:rFonts w:eastAsia="宋体" w:asciiTheme="majorHAnsi" w:hAnsiTheme="majorHAnsi" w:cstheme="majorBidi"/>
      <w:b/>
      <w:bCs/>
      <w:sz w:val="32"/>
      <w:szCs w:val="32"/>
    </w:rPr>
  </w:style>
  <w:style w:type="character" w:customStyle="1" w:styleId="38">
    <w:name w:val="标题 2 Char"/>
    <w:basedOn w:val="23"/>
    <w:link w:val="4"/>
    <w:qFormat/>
    <w:uiPriority w:val="9"/>
    <w:rPr>
      <w:rFonts w:asciiTheme="majorHAnsi" w:hAnsiTheme="majorHAnsi" w:eastAsiaTheme="majorEastAsia" w:cstheme="majorBidi"/>
      <w:b/>
      <w:bCs/>
      <w:sz w:val="32"/>
      <w:szCs w:val="32"/>
    </w:rPr>
  </w:style>
  <w:style w:type="character" w:customStyle="1" w:styleId="39">
    <w:name w:val="标题 3 Char"/>
    <w:basedOn w:val="23"/>
    <w:link w:val="5"/>
    <w:semiHidden/>
    <w:qFormat/>
    <w:uiPriority w:val="9"/>
    <w:rPr>
      <w:b/>
      <w:bCs/>
      <w:sz w:val="32"/>
      <w:szCs w:val="32"/>
    </w:rPr>
  </w:style>
  <w:style w:type="character" w:customStyle="1" w:styleId="40">
    <w:name w:val="正文文本缩进 2 Char"/>
    <w:basedOn w:val="23"/>
    <w:link w:val="12"/>
    <w:qFormat/>
    <w:uiPriority w:val="0"/>
    <w:rPr>
      <w:rFonts w:ascii="宋体" w:hAnsi="宋体" w:eastAsia="宋体" w:cs="Times New Roman"/>
      <w:snapToGrid w:val="0"/>
      <w:kern w:val="0"/>
      <w:szCs w:val="24"/>
    </w:rPr>
  </w:style>
  <w:style w:type="paragraph" w:customStyle="1" w:styleId="41">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2">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3">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5">
    <w:name w:val="high-light-bg4"/>
    <w:basedOn w:val="23"/>
    <w:qFormat/>
    <w:uiPriority w:val="0"/>
  </w:style>
  <w:style w:type="character" w:customStyle="1" w:styleId="46">
    <w:name w:val="ordinary-span-edit2"/>
    <w:basedOn w:val="23"/>
    <w:qFormat/>
    <w:uiPriority w:val="0"/>
  </w:style>
  <w:style w:type="character" w:customStyle="1" w:styleId="47">
    <w:name w:val="日期 Char"/>
    <w:basedOn w:val="23"/>
    <w:link w:val="11"/>
    <w:semiHidden/>
    <w:qFormat/>
    <w:uiPriority w:val="99"/>
  </w:style>
  <w:style w:type="paragraph" w:customStyle="1" w:styleId="48">
    <w:name w:val="正文1"/>
    <w:qFormat/>
    <w:uiPriority w:val="0"/>
    <w:pPr>
      <w:jc w:val="both"/>
    </w:pPr>
    <w:rPr>
      <w:rFonts w:ascii="Calibri" w:hAnsi="Calibri" w:eastAsia="宋体" w:cs="宋体"/>
      <w:kern w:val="2"/>
      <w:sz w:val="21"/>
      <w:szCs w:val="21"/>
      <w:lang w:val="en-US" w:eastAsia="zh-CN" w:bidi="ar-SA"/>
    </w:rPr>
  </w:style>
  <w:style w:type="character" w:customStyle="1" w:styleId="49">
    <w:name w:val="dash6b63_6587__char1"/>
    <w:qFormat/>
    <w:uiPriority w:val="0"/>
    <w:rPr>
      <w:rFonts w:hint="default" w:ascii="Times New Roman" w:hAnsi="Times New Roman" w:cs="Times New Roman"/>
      <w:sz w:val="20"/>
      <w:szCs w:val="20"/>
      <w:u w:val="none"/>
    </w:rPr>
  </w:style>
  <w:style w:type="paragraph" w:customStyle="1" w:styleId="50">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1">
    <w:name w:val="章标题"/>
    <w:next w:val="52"/>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3">
    <w:name w:val="一级条标题"/>
    <w:next w:val="52"/>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4">
    <w:name w:val="二级无"/>
    <w:basedOn w:val="55"/>
    <w:qFormat/>
    <w:uiPriority w:val="0"/>
    <w:pPr>
      <w:spacing w:before="0" w:beforeLines="0" w:after="0" w:afterLines="0"/>
    </w:pPr>
    <w:rPr>
      <w:rFonts w:ascii="宋体" w:eastAsia="宋体"/>
    </w:rPr>
  </w:style>
  <w:style w:type="paragraph" w:customStyle="1" w:styleId="55">
    <w:name w:val="二级条标题"/>
    <w:basedOn w:val="53"/>
    <w:next w:val="52"/>
    <w:qFormat/>
    <w:uiPriority w:val="0"/>
    <w:pPr>
      <w:numPr>
        <w:ilvl w:val="2"/>
      </w:numPr>
      <w:spacing w:before="50" w:after="50"/>
      <w:outlineLvl w:val="3"/>
    </w:pPr>
  </w:style>
  <w:style w:type="paragraph" w:customStyle="1" w:styleId="56">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7">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8">
    <w:name w:val="注：（正文）"/>
    <w:basedOn w:val="59"/>
    <w:next w:val="52"/>
    <w:qFormat/>
    <w:uiPriority w:val="0"/>
  </w:style>
  <w:style w:type="paragraph" w:customStyle="1" w:styleId="59">
    <w:name w:val="注："/>
    <w:next w:val="52"/>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60">
    <w:name w:val="附录标识"/>
    <w:basedOn w:val="1"/>
    <w:next w:val="52"/>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1">
    <w:name w:val="正文表标题"/>
    <w:next w:val="52"/>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2">
    <w:name w:val="Other|1"/>
    <w:basedOn w:val="1"/>
    <w:qFormat/>
    <w:uiPriority w:val="0"/>
    <w:rPr>
      <w:rFonts w:ascii="宋体" w:hAnsi="宋体" w:cs="宋体"/>
      <w:sz w:val="19"/>
      <w:szCs w:val="19"/>
      <w:lang w:val="zh-CN" w:bidi="zh-CN"/>
    </w:rPr>
  </w:style>
  <w:style w:type="paragraph" w:customStyle="1" w:styleId="63">
    <w:name w:val="终结线"/>
    <w:basedOn w:val="1"/>
    <w:qFormat/>
    <w:uiPriority w:val="0"/>
    <w:pPr>
      <w:framePr w:hSpace="181" w:vSpace="181" w:wrap="around" w:vAnchor="text" w:hAnchor="margin" w:xAlign="center" w:y="285"/>
    </w:pPr>
  </w:style>
  <w:style w:type="paragraph" w:customStyle="1" w:styleId="64">
    <w:name w:val="标准文件_术语条一"/>
    <w:basedOn w:val="65"/>
    <w:next w:val="68"/>
    <w:qFormat/>
    <w:uiPriority w:val="0"/>
  </w:style>
  <w:style w:type="paragraph" w:customStyle="1" w:styleId="65">
    <w:name w:val="标准文件_一级无标题"/>
    <w:basedOn w:val="66"/>
    <w:qFormat/>
    <w:uiPriority w:val="0"/>
    <w:pPr>
      <w:spacing w:before="0" w:beforeLines="0" w:after="0" w:afterLines="0"/>
      <w:outlineLvl w:val="9"/>
    </w:pPr>
    <w:rPr>
      <w:rFonts w:ascii="宋体" w:eastAsia="宋体"/>
    </w:rPr>
  </w:style>
  <w:style w:type="paragraph" w:customStyle="1" w:styleId="66">
    <w:name w:val="标准文件_一级条标题"/>
    <w:basedOn w:val="67"/>
    <w:next w:val="68"/>
    <w:qFormat/>
    <w:uiPriority w:val="0"/>
    <w:pPr>
      <w:numPr>
        <w:ilvl w:val="2"/>
      </w:numPr>
      <w:spacing w:before="50" w:beforeLines="50" w:after="50" w:afterLines="50"/>
      <w:outlineLvl w:val="1"/>
    </w:pPr>
  </w:style>
  <w:style w:type="paragraph" w:customStyle="1" w:styleId="67">
    <w:name w:val="标准文件_章标题"/>
    <w:next w:val="68"/>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8">
    <w:name w:val="标准文件_段"/>
    <w:link w:val="7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9">
    <w:name w:val="标准文件_二级无标题"/>
    <w:basedOn w:val="70"/>
    <w:qFormat/>
    <w:uiPriority w:val="0"/>
    <w:pPr>
      <w:spacing w:before="0" w:beforeLines="0" w:after="0" w:afterLines="0"/>
      <w:outlineLvl w:val="9"/>
    </w:pPr>
    <w:rPr>
      <w:rFonts w:ascii="宋体" w:eastAsia="宋体"/>
    </w:rPr>
  </w:style>
  <w:style w:type="paragraph" w:customStyle="1" w:styleId="70">
    <w:name w:val="标准文件_二级条标题"/>
    <w:next w:val="68"/>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1">
    <w:name w:val="标准文件_页脚奇数页"/>
    <w:qFormat/>
    <w:uiPriority w:val="0"/>
    <w:pPr>
      <w:jc w:val="right"/>
    </w:pPr>
    <w:rPr>
      <w:rFonts w:ascii="宋体" w:hAnsi="Times New Roman" w:eastAsia="宋体" w:cs="Times New Roman"/>
      <w:sz w:val="18"/>
      <w:lang w:val="en-US" w:eastAsia="zh-CN" w:bidi="ar-SA"/>
    </w:rPr>
  </w:style>
  <w:style w:type="paragraph" w:customStyle="1" w:styleId="72">
    <w:name w:val="标准文件_页脚偶数页"/>
    <w:qFormat/>
    <w:uiPriority w:val="0"/>
    <w:rPr>
      <w:rFonts w:ascii="宋体" w:hAnsi="Times New Roman" w:eastAsia="宋体" w:cs="Times New Roman"/>
      <w:sz w:val="18"/>
      <w:lang w:val="en-US" w:eastAsia="zh-CN" w:bidi="ar-SA"/>
    </w:rPr>
  </w:style>
  <w:style w:type="paragraph" w:customStyle="1" w:styleId="73">
    <w:name w:val="说明文字"/>
    <w:basedOn w:val="1"/>
    <w:qFormat/>
    <w:uiPriority w:val="0"/>
  </w:style>
  <w:style w:type="paragraph" w:customStyle="1" w:styleId="74">
    <w:name w:val="标准文件_附录一级条标题"/>
    <w:next w:val="68"/>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5">
    <w:name w:val="标准文件_附录图标题"/>
    <w:next w:val="68"/>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6">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7">
    <w:name w:val="标准文件_表格"/>
    <w:basedOn w:val="68"/>
    <w:qFormat/>
    <w:uiPriority w:val="0"/>
    <w:pPr>
      <w:ind w:firstLine="0" w:firstLineChars="0"/>
      <w:jc w:val="center"/>
    </w:pPr>
    <w:rPr>
      <w:sz w:val="18"/>
    </w:rPr>
  </w:style>
  <w:style w:type="paragraph" w:customStyle="1" w:styleId="78">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character" w:customStyle="1" w:styleId="79">
    <w:name w:val="标准文件_段 Char"/>
    <w:link w:val="68"/>
    <w:qFormat/>
    <w:uiPriority w:val="0"/>
    <w:rPr>
      <w:rFonts w:ascii="宋体"/>
      <w:sz w:val="21"/>
    </w:rPr>
  </w:style>
  <w:style w:type="paragraph" w:customStyle="1" w:styleId="80">
    <w:name w:val="标准文件_引言一级条标题"/>
    <w:basedOn w:val="68"/>
    <w:next w:val="68"/>
    <w:qFormat/>
    <w:uiPriority w:val="0"/>
    <w:pPr>
      <w:spacing w:before="50" w:beforeLines="50" w:after="50" w:afterLines="50"/>
      <w:ind w:firstLine="0" w:firstLineChars="0"/>
    </w:pPr>
    <w:rPr>
      <w:rFonts w:ascii="黑体" w:eastAsia="黑体"/>
    </w:rPr>
  </w:style>
  <w:style w:type="paragraph" w:customStyle="1" w:styleId="81">
    <w:name w:val="标准文件_引言二级条标题"/>
    <w:basedOn w:val="68"/>
    <w:next w:val="68"/>
    <w:qFormat/>
    <w:uiPriority w:val="0"/>
    <w:pPr>
      <w:spacing w:before="50" w:beforeLines="50" w:after="50" w:afterLines="50"/>
      <w:ind w:firstLine="0" w:firstLineChars="0"/>
    </w:pPr>
    <w:rPr>
      <w:rFonts w:ascii="黑体" w:eastAsia="黑体"/>
    </w:rPr>
  </w:style>
  <w:style w:type="paragraph" w:customStyle="1" w:styleId="82">
    <w:name w:val="标准文件_引言三级条标题"/>
    <w:basedOn w:val="68"/>
    <w:next w:val="68"/>
    <w:qFormat/>
    <w:uiPriority w:val="0"/>
    <w:pPr>
      <w:spacing w:before="50" w:beforeLines="50" w:after="50" w:afterLines="50"/>
      <w:ind w:firstLine="0" w:firstLineChars="0"/>
    </w:pPr>
    <w:rPr>
      <w:rFonts w:ascii="黑体" w:eastAsia="黑体"/>
    </w:rPr>
  </w:style>
  <w:style w:type="paragraph" w:customStyle="1" w:styleId="83">
    <w:name w:val="标准文件_引言四级条标题"/>
    <w:basedOn w:val="68"/>
    <w:next w:val="68"/>
    <w:qFormat/>
    <w:uiPriority w:val="0"/>
    <w:pPr>
      <w:spacing w:before="50" w:beforeLines="50" w:after="50" w:afterLines="50"/>
      <w:ind w:firstLine="0" w:firstLineChars="0"/>
    </w:pPr>
    <w:rPr>
      <w:rFonts w:ascii="黑体" w:eastAsia="黑体"/>
    </w:rPr>
  </w:style>
  <w:style w:type="paragraph" w:customStyle="1" w:styleId="84">
    <w:name w:val="标准文件_引言五级条标题"/>
    <w:basedOn w:val="68"/>
    <w:next w:val="68"/>
    <w:qFormat/>
    <w:uiPriority w:val="0"/>
    <w:pPr>
      <w:spacing w:before="50" w:beforeLines="50" w:after="50" w:afterLines="50"/>
      <w:ind w:firstLine="0" w:firstLineChars="0"/>
    </w:pPr>
    <w:rPr>
      <w:rFonts w:ascii="黑体" w:eastAsia="黑体"/>
    </w:rPr>
  </w:style>
  <w:style w:type="paragraph" w:customStyle="1" w:styleId="8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qFormat/>
    <w:uiPriority w:val="0"/>
    <w:pPr>
      <w:jc w:val="left"/>
    </w:pPr>
  </w:style>
  <w:style w:type="paragraph" w:customStyle="1" w:styleId="87">
    <w:name w:val="标准文件_附录标识"/>
    <w:next w:val="68"/>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8">
    <w:name w:val="标准文件_附录表标题"/>
    <w:next w:val="68"/>
    <w:qFormat/>
    <w:uiPriority w:val="0"/>
    <w:pPr>
      <w:numPr>
        <w:ilvl w:val="1"/>
        <w:numId w:val="1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9">
    <w:name w:val="标准文件_附录二级条标题"/>
    <w:basedOn w:val="74"/>
    <w:next w:val="68"/>
    <w:qFormat/>
    <w:uiPriority w:val="0"/>
    <w:pPr>
      <w:widowControl/>
      <w:numPr>
        <w:ilvl w:val="0"/>
        <w:numId w:val="0"/>
      </w:numPr>
      <w:wordWrap w:val="0"/>
      <w:overflowPunct w:val="0"/>
      <w:autoSpaceDE w:val="0"/>
      <w:autoSpaceDN w:val="0"/>
      <w:textAlignment w:val="baseline"/>
      <w:outlineLvl w:val="3"/>
    </w:pPr>
  </w:style>
  <w:style w:type="paragraph" w:customStyle="1" w:styleId="90">
    <w:name w:val="标准文件_附录三级条标题"/>
    <w:next w:val="68"/>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1">
    <w:name w:val="标准文件_附录四级条标题"/>
    <w:next w:val="68"/>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2">
    <w:name w:val="标准文件_附录五级条标题"/>
    <w:next w:val="68"/>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2"/>
    <w:qFormat/>
    <w:uiPriority w:val="0"/>
    <w:pPr>
      <w:numPr>
        <w:ilvl w:val="0"/>
        <w:numId w:val="12"/>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4">
    <w:name w:val="标准文件_三级条标题"/>
    <w:basedOn w:val="70"/>
    <w:next w:val="68"/>
    <w:qFormat/>
    <w:uiPriority w:val="0"/>
    <w:pPr>
      <w:widowControl/>
      <w:numPr>
        <w:ilvl w:val="0"/>
        <w:numId w:val="0"/>
      </w:numPr>
      <w:outlineLvl w:val="3"/>
    </w:pPr>
  </w:style>
  <w:style w:type="paragraph" w:customStyle="1" w:styleId="95">
    <w:name w:val="标准文件_四级条标题"/>
    <w:next w:val="68"/>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96">
    <w:name w:val="标准文件_五级条标题"/>
    <w:next w:val="68"/>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97">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9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9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0">
    <w:name w:val="标准文件_三级无标题"/>
    <w:basedOn w:val="94"/>
    <w:qFormat/>
    <w:uiPriority w:val="0"/>
    <w:pPr>
      <w:spacing w:before="0" w:beforeLines="0" w:after="0" w:afterLines="0"/>
      <w:outlineLvl w:val="9"/>
    </w:pPr>
    <w:rPr>
      <w:rFonts w:ascii="宋体" w:eastAsia="宋体"/>
    </w:rPr>
  </w:style>
  <w:style w:type="paragraph" w:customStyle="1" w:styleId="10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02">
    <w:name w:val="标准文件_注："/>
    <w:next w:val="68"/>
    <w:qFormat/>
    <w:uiPriority w:val="0"/>
    <w:pPr>
      <w:widowControl w:val="0"/>
      <w:autoSpaceDE w:val="0"/>
      <w:autoSpaceDN w:val="0"/>
      <w:ind w:left="737" w:hanging="374"/>
      <w:jc w:val="both"/>
    </w:pPr>
    <w:rPr>
      <w:rFonts w:ascii="宋体" w:hAnsi="Times New Roman" w:eastAsia="宋体" w:cs="Times New Roman"/>
      <w:sz w:val="18"/>
      <w:szCs w:val="18"/>
      <w:lang w:val="en-US" w:eastAsia="zh-CN" w:bidi="ar-SA"/>
    </w:rPr>
  </w:style>
  <w:style w:type="paragraph" w:customStyle="1" w:styleId="103">
    <w:name w:val="标准文件_附录图标号"/>
    <w:basedOn w:val="68"/>
    <w:next w:val="68"/>
    <w:qFormat/>
    <w:uiPriority w:val="0"/>
    <w:pPr>
      <w:spacing w:line="14" w:lineRule="exact"/>
      <w:ind w:left="420" w:firstLine="0" w:firstLineChars="0"/>
      <w:jc w:val="center"/>
    </w:pPr>
    <w:rPr>
      <w:rFonts w:ascii="黑体" w:hAnsi="黑体" w:eastAsia="黑体"/>
      <w:vanish/>
      <w:sz w:val="2"/>
      <w:szCs w:val="21"/>
    </w:rPr>
  </w:style>
  <w:style w:type="paragraph" w:customStyle="1" w:styleId="104">
    <w:name w:val="标准文件_附录表标号"/>
    <w:basedOn w:val="68"/>
    <w:next w:val="68"/>
    <w:qFormat/>
    <w:uiPriority w:val="0"/>
    <w:pPr>
      <w:numPr>
        <w:ilvl w:val="0"/>
        <w:numId w:val="11"/>
      </w:numPr>
      <w:spacing w:line="14" w:lineRule="exact"/>
      <w:ind w:firstLine="0" w:firstLineChars="0"/>
      <w:jc w:val="center"/>
    </w:pPr>
    <w:rPr>
      <w:rFonts w:eastAsia="黑体"/>
      <w:vanish/>
      <w:sz w:val="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theme" Target="theme/theme1.xml"/><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header" Target="header13.xml"/><Relationship Id="rId30" Type="http://schemas.openxmlformats.org/officeDocument/2006/relationships/header" Target="header12.xml"/><Relationship Id="rId3" Type="http://schemas.openxmlformats.org/officeDocument/2006/relationships/header" Target="header1.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header" Target="header11.xml"/><Relationship Id="rId26" Type="http://schemas.openxmlformats.org/officeDocument/2006/relationships/header" Target="header10.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header" Target="header8.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2BC4967CEEA43EFA0822C94CF9260C0"/>
        <w:style w:val=""/>
        <w:category>
          <w:name w:val="常规"/>
          <w:gallery w:val="placeholder"/>
        </w:category>
        <w:types>
          <w:type w:val="bbPlcHdr"/>
        </w:types>
        <w:behaviors>
          <w:behavior w:val="content"/>
        </w:behaviors>
        <w:description w:val=""/>
        <w:guid w:val="{2D41E7D0-EE39-400A-AA72-4AB71D685A92}"/>
      </w:docPartPr>
      <w:docPartBody>
        <w:p>
          <w:pPr>
            <w:pStyle w:val="6"/>
          </w:pPr>
          <w:r>
            <w:rPr>
              <w:rStyle w:val="4"/>
              <w:rFonts w:hint="eastAsia"/>
            </w:rPr>
            <w:t>选择一项。</w:t>
          </w:r>
        </w:p>
      </w:docPartBody>
    </w:docPart>
    <w:docPart>
      <w:docPartPr>
        <w:name w:val="EADB00A4398B45709CC3CD4308F5D63D"/>
        <w:style w:val=""/>
        <w:category>
          <w:name w:val="常规"/>
          <w:gallery w:val="placeholder"/>
        </w:category>
        <w:types>
          <w:type w:val="bbPlcHdr"/>
        </w:types>
        <w:behaviors>
          <w:behavior w:val="content"/>
        </w:behaviors>
        <w:description w:val=""/>
        <w:guid w:val="{52D975F9-72BB-499A-9E9A-45A3C567974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51B"/>
    <w:rsid w:val="001333A9"/>
    <w:rsid w:val="001B1DAC"/>
    <w:rsid w:val="0028104F"/>
    <w:rsid w:val="005D751B"/>
    <w:rsid w:val="00701BA1"/>
    <w:rsid w:val="007667E7"/>
    <w:rsid w:val="00B3439C"/>
    <w:rsid w:val="00BB7A47"/>
    <w:rsid w:val="00FD1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803081836B444E3B3B64CF4F06661F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2BC4967CEEA43EFA0822C94CF9260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DB00A4398B45709CC3CD4308F5D63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A2753-D476-4F39-9DD0-9C7C76CB86E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1408</Words>
  <Characters>8028</Characters>
  <Lines>66</Lines>
  <Paragraphs>18</Paragraphs>
  <TotalTime>3</TotalTime>
  <ScaleCrop>false</ScaleCrop>
  <LinksUpToDate>false</LinksUpToDate>
  <CharactersWithSpaces>9418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2024-11-18T02:45:00Z</dcterms:created>
  <dc:creator>wy</dc:creator>
  <cp:lastModifiedBy>TZ</cp:lastModifiedBy>
  <cp:lastPrinted>2022-09-06T01:26:00Z</cp:lastPrinted>
  <dcterms:modified xsi:type="dcterms:W3CDTF">2024-11-19T02:51:53Z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2D391516055844F695F153CAFD5B753F</vt:lpwstr>
  </property>
</Properties>
</file>